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0"/>
      </w:tblGrid>
      <w:tr w:rsidR="00FC6F73" w:rsidRPr="00FC6F73" w14:paraId="74CEBC99" w14:textId="77777777" w:rsidTr="00B87FC5">
        <w:trPr>
          <w:trHeight w:val="864"/>
        </w:trPr>
        <w:tc>
          <w:tcPr>
            <w:tcW w:w="9350" w:type="dxa"/>
            <w:shd w:val="clear" w:color="auto" w:fill="4472C4" w:themeFill="accent1"/>
            <w:vAlign w:val="center"/>
          </w:tcPr>
          <w:p w14:paraId="5EB22F55" w14:textId="7C9F90F8" w:rsidR="00FC6F73" w:rsidRPr="00FC6F73" w:rsidRDefault="00AD104C" w:rsidP="004D733A">
            <w:pPr>
              <w:jc w:val="center"/>
              <w:rPr>
                <w:rFonts w:ascii="Arial" w:hAnsi="Arial" w:cs="Arial"/>
                <w:b/>
                <w:bCs/>
                <w:sz w:val="32"/>
                <w:szCs w:val="32"/>
              </w:rPr>
            </w:pPr>
            <w:r>
              <w:rPr>
                <w:rFonts w:ascii="Arial" w:hAnsi="Arial" w:cs="Arial"/>
                <w:b/>
                <w:bCs/>
                <w:noProof/>
                <w:sz w:val="32"/>
                <w:szCs w:val="32"/>
              </w:rPr>
              <w:drawing>
                <wp:inline distT="0" distB="0" distL="0" distR="0" wp14:anchorId="2DB7587A" wp14:editId="5E5333D1">
                  <wp:extent cx="526189" cy="457200"/>
                  <wp:effectExtent l="0" t="0" r="7620" b="0"/>
                  <wp:docPr id="5" name="Picture 5" descr="A yellow triangle sign with a person with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triangle sign with a person with gea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189" cy="457200"/>
                          </a:xfrm>
                          <a:prstGeom prst="rect">
                            <a:avLst/>
                          </a:prstGeom>
                        </pic:spPr>
                      </pic:pic>
                    </a:graphicData>
                  </a:graphic>
                </wp:inline>
              </w:drawing>
            </w:r>
            <w:r>
              <w:rPr>
                <w:rFonts w:ascii="Arial" w:hAnsi="Arial" w:cs="Arial"/>
                <w:b/>
                <w:bCs/>
                <w:noProof/>
                <w:sz w:val="32"/>
                <w:szCs w:val="32"/>
              </w:rPr>
              <w:drawing>
                <wp:inline distT="0" distB="0" distL="0" distR="0" wp14:anchorId="10897940" wp14:editId="0271AF00">
                  <wp:extent cx="526189" cy="457200"/>
                  <wp:effectExtent l="0" t="0" r="7620" b="0"/>
                  <wp:docPr id="6" name="Picture 6" descr="A yellow triangle sign with a person fall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triangle sign with a person falling on the fl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189" cy="457200"/>
                          </a:xfrm>
                          <a:prstGeom prst="rect">
                            <a:avLst/>
                          </a:prstGeom>
                        </pic:spPr>
                      </pic:pic>
                    </a:graphicData>
                  </a:graphic>
                </wp:inline>
              </w:drawing>
            </w:r>
          </w:p>
        </w:tc>
      </w:tr>
      <w:tr w:rsidR="00FC6F73" w:rsidRPr="00FC6F73" w14:paraId="4E83F278" w14:textId="77777777" w:rsidTr="00B87FC5">
        <w:trPr>
          <w:trHeight w:val="432"/>
        </w:trPr>
        <w:tc>
          <w:tcPr>
            <w:tcW w:w="9350" w:type="dxa"/>
            <w:shd w:val="clear" w:color="auto" w:fill="4472C4" w:themeFill="accent1"/>
            <w:vAlign w:val="center"/>
          </w:tcPr>
          <w:p w14:paraId="723DF8F0" w14:textId="76F215E3" w:rsidR="00FC6F73" w:rsidRPr="00FC6F73" w:rsidRDefault="00FC6F73" w:rsidP="004D733A">
            <w:pPr>
              <w:jc w:val="center"/>
              <w:rPr>
                <w:rFonts w:ascii="Arial" w:hAnsi="Arial" w:cs="Arial"/>
                <w:b/>
                <w:bCs/>
                <w:sz w:val="32"/>
                <w:szCs w:val="32"/>
              </w:rPr>
            </w:pPr>
            <w:r w:rsidRPr="00752497">
              <w:rPr>
                <w:rFonts w:ascii="Arial" w:hAnsi="Arial" w:cs="Arial"/>
                <w:b/>
                <w:bCs/>
                <w:sz w:val="28"/>
                <w:szCs w:val="28"/>
              </w:rPr>
              <w:t>Addendum to the Corporate Control of Hazardous Energy Policy</w:t>
            </w:r>
          </w:p>
        </w:tc>
      </w:tr>
      <w:tr w:rsidR="00AD104C" w:rsidRPr="00FC6F73" w14:paraId="2454AC77" w14:textId="77777777" w:rsidTr="00B87FC5">
        <w:trPr>
          <w:trHeight w:val="432"/>
        </w:trPr>
        <w:tc>
          <w:tcPr>
            <w:tcW w:w="9350" w:type="dxa"/>
            <w:shd w:val="clear" w:color="auto" w:fill="4472C4" w:themeFill="accent1"/>
            <w:vAlign w:val="center"/>
          </w:tcPr>
          <w:p w14:paraId="36F9B2FF" w14:textId="1805A8CC" w:rsidR="00AD104C" w:rsidRPr="00D9781E" w:rsidRDefault="00AD104C" w:rsidP="004D733A">
            <w:pPr>
              <w:jc w:val="center"/>
              <w:rPr>
                <w:rFonts w:ascii="Arial" w:hAnsi="Arial" w:cs="Arial"/>
                <w:sz w:val="24"/>
                <w:szCs w:val="24"/>
              </w:rPr>
            </w:pPr>
            <w:r w:rsidRPr="00D9781E">
              <w:rPr>
                <w:rFonts w:ascii="Arial" w:hAnsi="Arial" w:cs="Arial"/>
                <w:sz w:val="24"/>
                <w:szCs w:val="24"/>
              </w:rPr>
              <w:t>(FCX-HS04)</w:t>
            </w:r>
            <w:r>
              <w:rPr>
                <w:rFonts w:ascii="Arial" w:hAnsi="Arial" w:cs="Arial"/>
                <w:sz w:val="24"/>
                <w:szCs w:val="24"/>
              </w:rPr>
              <w:t xml:space="preserve"> </w:t>
            </w:r>
            <w:r w:rsidRPr="00D9781E">
              <w:rPr>
                <w:rFonts w:ascii="Arial" w:hAnsi="Arial" w:cs="Arial"/>
                <w:sz w:val="24"/>
                <w:szCs w:val="24"/>
              </w:rPr>
              <w:t>August 2024</w:t>
            </w:r>
          </w:p>
        </w:tc>
      </w:tr>
    </w:tbl>
    <w:p w14:paraId="6B970A19" w14:textId="77777777" w:rsidR="002E1FA5" w:rsidRDefault="002E1FA5" w:rsidP="00817243">
      <w:pPr>
        <w:rPr>
          <w:rFonts w:ascii="Arial" w:hAnsi="Arial" w:cs="Arial"/>
          <w:sz w:val="24"/>
          <w:szCs w:val="24"/>
        </w:rPr>
      </w:pPr>
    </w:p>
    <w:p w14:paraId="4618581B" w14:textId="40467F86" w:rsidR="00794EAD" w:rsidRPr="00817243" w:rsidRDefault="00794EAD" w:rsidP="00817243">
      <w:pPr>
        <w:rPr>
          <w:rFonts w:ascii="Arial" w:hAnsi="Arial" w:cs="Arial"/>
          <w:sz w:val="24"/>
          <w:szCs w:val="24"/>
        </w:rPr>
      </w:pPr>
      <w:r w:rsidRPr="00817243">
        <w:rPr>
          <w:rFonts w:ascii="Arial" w:hAnsi="Arial" w:cs="Arial"/>
          <w:sz w:val="24"/>
          <w:szCs w:val="24"/>
        </w:rPr>
        <w:t>All energy isolation (LOTOTO) locks will be colored plastic bodied safety locks. Other locks are not acceptable for energy isolation with no exception. These locks shall not be used for any purpose other than LOTOTO. A single lock or keyed alike locks will have only one key. This key is to be kept in the possession of the authorized individual. Spare keys will be destroyed.</w:t>
      </w:r>
    </w:p>
    <w:p w14:paraId="1CF17441" w14:textId="6E1F9E50" w:rsidR="00794EAD" w:rsidRPr="00752497" w:rsidRDefault="00794EAD" w:rsidP="00817243">
      <w:pPr>
        <w:pStyle w:val="ListParagraph"/>
        <w:numPr>
          <w:ilvl w:val="0"/>
          <w:numId w:val="2"/>
        </w:numPr>
        <w:rPr>
          <w:rFonts w:ascii="Arial" w:hAnsi="Arial" w:cs="Arial"/>
          <w:sz w:val="24"/>
          <w:szCs w:val="24"/>
        </w:rPr>
      </w:pPr>
      <w:r w:rsidRPr="00752497">
        <w:rPr>
          <w:rFonts w:ascii="Arial" w:hAnsi="Arial" w:cs="Arial"/>
          <w:sz w:val="24"/>
          <w:szCs w:val="24"/>
        </w:rPr>
        <w:t xml:space="preserve">Lock colors by department: </w:t>
      </w:r>
    </w:p>
    <w:p w14:paraId="51858A63" w14:textId="5BA11822" w:rsidR="00794EAD" w:rsidRPr="00752497" w:rsidRDefault="00794EAD" w:rsidP="00817243">
      <w:pPr>
        <w:pStyle w:val="ListParagraph"/>
        <w:numPr>
          <w:ilvl w:val="1"/>
          <w:numId w:val="2"/>
        </w:numPr>
        <w:rPr>
          <w:rFonts w:ascii="Arial" w:hAnsi="Arial" w:cs="Arial"/>
          <w:sz w:val="24"/>
          <w:szCs w:val="24"/>
        </w:rPr>
      </w:pPr>
      <w:r w:rsidRPr="00752497">
        <w:rPr>
          <w:rFonts w:ascii="Arial" w:hAnsi="Arial" w:cs="Arial"/>
          <w:sz w:val="24"/>
          <w:szCs w:val="24"/>
        </w:rPr>
        <w:t xml:space="preserve">Operations: </w:t>
      </w:r>
      <w:r w:rsidRPr="00752497">
        <w:rPr>
          <w:rFonts w:ascii="Arial" w:hAnsi="Arial" w:cs="Arial"/>
          <w:b/>
          <w:bCs/>
          <w:color w:val="00B050"/>
          <w:sz w:val="24"/>
          <w:szCs w:val="24"/>
        </w:rPr>
        <w:t>GREEN</w:t>
      </w:r>
    </w:p>
    <w:p w14:paraId="1E20A6D2" w14:textId="2A3AE851" w:rsidR="00794EAD" w:rsidRPr="00752497" w:rsidRDefault="00794EAD" w:rsidP="00817243">
      <w:pPr>
        <w:pStyle w:val="ListParagraph"/>
        <w:numPr>
          <w:ilvl w:val="1"/>
          <w:numId w:val="2"/>
        </w:numPr>
        <w:rPr>
          <w:rFonts w:ascii="Arial" w:hAnsi="Arial" w:cs="Arial"/>
          <w:sz w:val="24"/>
          <w:szCs w:val="24"/>
        </w:rPr>
      </w:pPr>
      <w:r w:rsidRPr="00752497">
        <w:rPr>
          <w:rFonts w:ascii="Arial" w:hAnsi="Arial" w:cs="Arial"/>
          <w:sz w:val="24"/>
          <w:szCs w:val="24"/>
        </w:rPr>
        <w:t xml:space="preserve">Maintenance: </w:t>
      </w:r>
      <w:r w:rsidRPr="00752497">
        <w:rPr>
          <w:rFonts w:ascii="Arial" w:hAnsi="Arial" w:cs="Arial"/>
          <w:b/>
          <w:bCs/>
          <w:color w:val="FF0000"/>
          <w:sz w:val="24"/>
          <w:szCs w:val="24"/>
        </w:rPr>
        <w:t>RED</w:t>
      </w:r>
    </w:p>
    <w:p w14:paraId="6284A773" w14:textId="602DCC0D" w:rsidR="00794EAD" w:rsidRPr="00752497" w:rsidRDefault="00794EAD" w:rsidP="00817243">
      <w:pPr>
        <w:pStyle w:val="ListParagraph"/>
        <w:numPr>
          <w:ilvl w:val="1"/>
          <w:numId w:val="2"/>
        </w:numPr>
        <w:rPr>
          <w:rFonts w:ascii="Arial" w:hAnsi="Arial" w:cs="Arial"/>
          <w:sz w:val="24"/>
          <w:szCs w:val="24"/>
        </w:rPr>
      </w:pPr>
      <w:r w:rsidRPr="00752497">
        <w:rPr>
          <w:rFonts w:ascii="Arial" w:hAnsi="Arial" w:cs="Arial"/>
          <w:sz w:val="24"/>
          <w:szCs w:val="24"/>
        </w:rPr>
        <w:t xml:space="preserve">Admin: </w:t>
      </w:r>
      <w:r w:rsidRPr="00752497">
        <w:rPr>
          <w:rFonts w:ascii="Arial" w:hAnsi="Arial" w:cs="Arial"/>
          <w:b/>
          <w:bCs/>
          <w:color w:val="7030A0"/>
          <w:sz w:val="24"/>
          <w:szCs w:val="24"/>
        </w:rPr>
        <w:t>PURPLE</w:t>
      </w:r>
    </w:p>
    <w:p w14:paraId="28EFB607" w14:textId="45C21139" w:rsidR="00794EAD" w:rsidRPr="00752497" w:rsidRDefault="00794EAD" w:rsidP="00817243">
      <w:pPr>
        <w:pStyle w:val="ListParagraph"/>
        <w:numPr>
          <w:ilvl w:val="1"/>
          <w:numId w:val="2"/>
        </w:numPr>
        <w:rPr>
          <w:rFonts w:ascii="Arial" w:hAnsi="Arial" w:cs="Arial"/>
          <w:sz w:val="24"/>
          <w:szCs w:val="24"/>
        </w:rPr>
      </w:pPr>
      <w:r w:rsidRPr="00752497">
        <w:rPr>
          <w:rFonts w:ascii="Arial" w:hAnsi="Arial" w:cs="Arial"/>
          <w:sz w:val="24"/>
          <w:szCs w:val="24"/>
        </w:rPr>
        <w:t xml:space="preserve">Electrical: </w:t>
      </w:r>
      <w:r w:rsidRPr="00752497">
        <w:rPr>
          <w:rFonts w:ascii="Arial" w:hAnsi="Arial" w:cs="Arial"/>
          <w:b/>
          <w:bCs/>
          <w:color w:val="FFFF00"/>
          <w:sz w:val="24"/>
          <w:szCs w:val="24"/>
          <w14:textOutline w14:w="3175" w14:cap="rnd" w14:cmpd="sng" w14:algn="ctr">
            <w14:solidFill>
              <w14:srgbClr w14:val="000000"/>
            </w14:solidFill>
            <w14:prstDash w14:val="solid"/>
            <w14:bevel/>
          </w14:textOutline>
        </w:rPr>
        <w:t>YELLOW</w:t>
      </w:r>
    </w:p>
    <w:p w14:paraId="72E17230" w14:textId="672B15E3" w:rsidR="00794EAD" w:rsidRPr="000671A8" w:rsidRDefault="00794EAD" w:rsidP="00817243">
      <w:pPr>
        <w:pStyle w:val="ListParagraph"/>
        <w:numPr>
          <w:ilvl w:val="1"/>
          <w:numId w:val="2"/>
        </w:numPr>
        <w:rPr>
          <w:rFonts w:ascii="Arial" w:hAnsi="Arial" w:cs="Arial"/>
          <w:sz w:val="24"/>
          <w:szCs w:val="24"/>
        </w:rPr>
      </w:pPr>
      <w:r w:rsidRPr="00752497">
        <w:rPr>
          <w:rFonts w:ascii="Arial" w:hAnsi="Arial" w:cs="Arial"/>
          <w:sz w:val="24"/>
          <w:szCs w:val="24"/>
        </w:rPr>
        <w:t xml:space="preserve">ECC: </w:t>
      </w:r>
      <w:r w:rsidRPr="00752497">
        <w:rPr>
          <w:rFonts w:ascii="Arial" w:hAnsi="Arial" w:cs="Arial"/>
          <w:b/>
          <w:bCs/>
          <w:color w:val="FFC000"/>
          <w:sz w:val="24"/>
          <w:szCs w:val="24"/>
        </w:rPr>
        <w:t>ORANGE</w:t>
      </w:r>
    </w:p>
    <w:p w14:paraId="433950B0" w14:textId="34D367FD" w:rsidR="000671A8" w:rsidRDefault="000671A8" w:rsidP="000671A8">
      <w:pPr>
        <w:rPr>
          <w:rFonts w:ascii="Arial" w:hAnsi="Arial" w:cs="Arial"/>
          <w:sz w:val="24"/>
          <w:szCs w:val="24"/>
        </w:rPr>
      </w:pPr>
      <w:r>
        <w:rPr>
          <w:rFonts w:ascii="Arial" w:hAnsi="Arial" w:cs="Arial"/>
          <w:sz w:val="24"/>
          <w:szCs w:val="24"/>
        </w:rPr>
        <w:t xml:space="preserve">All </w:t>
      </w:r>
      <w:r w:rsidR="0043169B">
        <w:rPr>
          <w:rFonts w:ascii="Arial" w:hAnsi="Arial" w:cs="Arial"/>
          <w:sz w:val="24"/>
          <w:szCs w:val="24"/>
        </w:rPr>
        <w:t>LOTOTO locks will have an accompanying tag</w:t>
      </w:r>
      <w:r w:rsidR="00B17C7E">
        <w:rPr>
          <w:rFonts w:ascii="Arial" w:hAnsi="Arial" w:cs="Arial"/>
          <w:sz w:val="24"/>
          <w:szCs w:val="24"/>
        </w:rPr>
        <w:t xml:space="preserve"> </w:t>
      </w:r>
      <w:r w:rsidR="006C5989">
        <w:rPr>
          <w:rFonts w:ascii="Arial" w:hAnsi="Arial" w:cs="Arial"/>
          <w:sz w:val="24"/>
          <w:szCs w:val="24"/>
        </w:rPr>
        <w:t>with verbiage containing, but not limited to “</w:t>
      </w:r>
      <w:r w:rsidR="004466B9">
        <w:rPr>
          <w:rFonts w:ascii="Arial" w:hAnsi="Arial" w:cs="Arial"/>
          <w:sz w:val="24"/>
          <w:szCs w:val="24"/>
        </w:rPr>
        <w:t>Danger” “Locked Out”</w:t>
      </w:r>
      <w:r w:rsidR="004E4A9F">
        <w:rPr>
          <w:rFonts w:ascii="Arial" w:hAnsi="Arial" w:cs="Arial"/>
          <w:sz w:val="24"/>
          <w:szCs w:val="24"/>
        </w:rPr>
        <w:t xml:space="preserve">. Tags can either be stickered to the lock or a </w:t>
      </w:r>
      <w:r w:rsidR="000332BD">
        <w:rPr>
          <w:rFonts w:ascii="Arial" w:hAnsi="Arial" w:cs="Arial"/>
          <w:sz w:val="24"/>
          <w:szCs w:val="24"/>
        </w:rPr>
        <w:t>secondary tag attached to the lock.</w:t>
      </w:r>
      <w:r w:rsidR="00081900">
        <w:rPr>
          <w:rFonts w:ascii="Arial" w:hAnsi="Arial" w:cs="Arial"/>
          <w:sz w:val="24"/>
          <w:szCs w:val="24"/>
        </w:rPr>
        <w:t xml:space="preserve"> Tags will include first and last name of the owner and either</w:t>
      </w:r>
      <w:r w:rsidR="001F5F53">
        <w:rPr>
          <w:rFonts w:ascii="Arial" w:hAnsi="Arial" w:cs="Arial"/>
          <w:sz w:val="24"/>
          <w:szCs w:val="24"/>
        </w:rPr>
        <w:t xml:space="preserve"> their</w:t>
      </w:r>
      <w:r w:rsidR="00081900">
        <w:rPr>
          <w:rFonts w:ascii="Arial" w:hAnsi="Arial" w:cs="Arial"/>
          <w:sz w:val="24"/>
          <w:szCs w:val="24"/>
        </w:rPr>
        <w:t xml:space="preserve"> applicable department or </w:t>
      </w:r>
      <w:r w:rsidR="001F5F53">
        <w:rPr>
          <w:rFonts w:ascii="Arial" w:hAnsi="Arial" w:cs="Arial"/>
          <w:sz w:val="24"/>
          <w:szCs w:val="24"/>
        </w:rPr>
        <w:t xml:space="preserve">their </w:t>
      </w:r>
      <w:r w:rsidR="00081900">
        <w:rPr>
          <w:rFonts w:ascii="Arial" w:hAnsi="Arial" w:cs="Arial"/>
          <w:sz w:val="24"/>
          <w:szCs w:val="24"/>
        </w:rPr>
        <w:t xml:space="preserve">company phone </w:t>
      </w:r>
      <w:r w:rsidR="00456C1C">
        <w:rPr>
          <w:rFonts w:ascii="Arial" w:hAnsi="Arial" w:cs="Arial"/>
          <w:sz w:val="24"/>
          <w:szCs w:val="24"/>
        </w:rPr>
        <w:t>number (</w:t>
      </w:r>
      <w:r w:rsidR="008348E3">
        <w:rPr>
          <w:rFonts w:ascii="Arial" w:hAnsi="Arial" w:cs="Arial"/>
          <w:sz w:val="24"/>
          <w:szCs w:val="24"/>
        </w:rPr>
        <w:t>if issued)</w:t>
      </w:r>
      <w:r w:rsidR="00081900">
        <w:rPr>
          <w:rFonts w:ascii="Arial" w:hAnsi="Arial" w:cs="Arial"/>
          <w:sz w:val="24"/>
          <w:szCs w:val="24"/>
        </w:rPr>
        <w:t>.</w:t>
      </w:r>
    </w:p>
    <w:p w14:paraId="4F839123" w14:textId="6D81807F" w:rsidR="00F32490" w:rsidRDefault="00F32490" w:rsidP="000A2986">
      <w:pPr>
        <w:ind w:firstLine="720"/>
        <w:rPr>
          <w:rFonts w:ascii="Arial" w:hAnsi="Arial" w:cs="Arial"/>
          <w:sz w:val="24"/>
          <w:szCs w:val="24"/>
        </w:rPr>
      </w:pPr>
      <w:r w:rsidRPr="00F32490">
        <w:rPr>
          <w:rFonts w:ascii="Arial" w:hAnsi="Arial" w:cs="Arial"/>
          <w:noProof/>
          <w:sz w:val="24"/>
          <w:szCs w:val="24"/>
        </w:rPr>
        <w:drawing>
          <wp:inline distT="0" distB="0" distL="0" distR="0" wp14:anchorId="79D3A52F" wp14:editId="4774FA41">
            <wp:extent cx="1699407" cy="329212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9407" cy="3292125"/>
                    </a:xfrm>
                    <a:prstGeom prst="rect">
                      <a:avLst/>
                    </a:prstGeom>
                  </pic:spPr>
                </pic:pic>
              </a:graphicData>
            </a:graphic>
          </wp:inline>
        </w:drawing>
      </w:r>
      <w:r w:rsidR="000A2986">
        <w:rPr>
          <w:rFonts w:ascii="Arial" w:hAnsi="Arial" w:cs="Arial"/>
          <w:sz w:val="24"/>
          <w:szCs w:val="24"/>
        </w:rPr>
        <w:tab/>
      </w:r>
      <w:r w:rsidR="000A2986">
        <w:rPr>
          <w:rFonts w:ascii="Arial" w:hAnsi="Arial" w:cs="Arial"/>
          <w:sz w:val="24"/>
          <w:szCs w:val="24"/>
        </w:rPr>
        <w:tab/>
      </w:r>
      <w:r w:rsidR="000A2986">
        <w:rPr>
          <w:rFonts w:ascii="Arial" w:hAnsi="Arial" w:cs="Arial"/>
          <w:sz w:val="24"/>
          <w:szCs w:val="24"/>
        </w:rPr>
        <w:tab/>
      </w:r>
      <w:r w:rsidR="000A2986">
        <w:rPr>
          <w:rFonts w:ascii="Arial" w:hAnsi="Arial" w:cs="Arial"/>
          <w:sz w:val="24"/>
          <w:szCs w:val="24"/>
        </w:rPr>
        <w:tab/>
      </w:r>
      <w:r w:rsidR="000A2986">
        <w:rPr>
          <w:rFonts w:ascii="Arial" w:hAnsi="Arial" w:cs="Arial"/>
          <w:sz w:val="24"/>
          <w:szCs w:val="24"/>
        </w:rPr>
        <w:tab/>
      </w:r>
      <w:r w:rsidR="000A2986">
        <w:rPr>
          <w:rFonts w:ascii="Arial" w:hAnsi="Arial" w:cs="Arial"/>
          <w:noProof/>
          <w:sz w:val="24"/>
          <w:szCs w:val="24"/>
        </w:rPr>
        <w:drawing>
          <wp:inline distT="0" distB="0" distL="0" distR="0" wp14:anchorId="39EC62E1" wp14:editId="496AC03F">
            <wp:extent cx="929898" cy="3120408"/>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cstate="print">
                      <a:extLst>
                        <a:ext uri="{28A0092B-C50C-407E-A947-70E740481C1C}">
                          <a14:useLocalDpi xmlns:a14="http://schemas.microsoft.com/office/drawing/2010/main" val="0"/>
                        </a:ext>
                      </a:extLst>
                    </a:blip>
                    <a:srcRect l="21025" t="3108" r="29242" b="13164"/>
                    <a:stretch/>
                  </pic:blipFill>
                  <pic:spPr bwMode="auto">
                    <a:xfrm>
                      <a:off x="0" y="0"/>
                      <a:ext cx="946714" cy="3176835"/>
                    </a:xfrm>
                    <a:prstGeom prst="rect">
                      <a:avLst/>
                    </a:prstGeom>
                    <a:ln>
                      <a:noFill/>
                    </a:ln>
                    <a:extLst>
                      <a:ext uri="{53640926-AAD7-44D8-BBD7-CCE9431645EC}">
                        <a14:shadowObscured xmlns:a14="http://schemas.microsoft.com/office/drawing/2010/main"/>
                      </a:ext>
                    </a:extLst>
                  </pic:spPr>
                </pic:pic>
              </a:graphicData>
            </a:graphic>
          </wp:inline>
        </w:drawing>
      </w:r>
    </w:p>
    <w:p w14:paraId="60CC7CAD" w14:textId="77777777" w:rsidR="00F32490" w:rsidRPr="000671A8" w:rsidRDefault="00F32490" w:rsidP="000671A8">
      <w:pPr>
        <w:rPr>
          <w:rFonts w:ascii="Arial" w:hAnsi="Arial" w:cs="Arial"/>
          <w:sz w:val="24"/>
          <w:szCs w:val="24"/>
        </w:rPr>
      </w:pPr>
    </w:p>
    <w:p w14:paraId="7CBA8BEC" w14:textId="7CC3581C" w:rsidR="00C841D3" w:rsidRDefault="00794EAD" w:rsidP="00817243">
      <w:pPr>
        <w:rPr>
          <w:rFonts w:ascii="Arial" w:hAnsi="Arial" w:cs="Arial"/>
          <w:sz w:val="24"/>
          <w:szCs w:val="24"/>
        </w:rPr>
      </w:pPr>
      <w:r w:rsidRPr="00817243">
        <w:rPr>
          <w:rFonts w:ascii="Arial" w:hAnsi="Arial" w:cs="Arial"/>
          <w:sz w:val="24"/>
          <w:szCs w:val="24"/>
        </w:rPr>
        <w:lastRenderedPageBreak/>
        <w:t xml:space="preserve">When a lock box is used, </w:t>
      </w:r>
      <w:r w:rsidR="009456B5">
        <w:rPr>
          <w:rFonts w:ascii="Arial" w:hAnsi="Arial" w:cs="Arial"/>
          <w:sz w:val="24"/>
          <w:szCs w:val="24"/>
        </w:rPr>
        <w:t>the</w:t>
      </w:r>
      <w:r w:rsidRPr="00817243">
        <w:rPr>
          <w:rFonts w:ascii="Arial" w:hAnsi="Arial" w:cs="Arial"/>
          <w:sz w:val="24"/>
          <w:szCs w:val="24"/>
        </w:rPr>
        <w:t xml:space="preserve"> Energy Control Coordinator (ECC)</w:t>
      </w:r>
      <w:r w:rsidR="009456B5">
        <w:rPr>
          <w:rFonts w:ascii="Arial" w:hAnsi="Arial" w:cs="Arial"/>
          <w:sz w:val="24"/>
          <w:szCs w:val="24"/>
        </w:rPr>
        <w:t xml:space="preserve"> process shall be followed</w:t>
      </w:r>
      <w:r w:rsidRPr="00817243">
        <w:rPr>
          <w:rFonts w:ascii="Arial" w:hAnsi="Arial" w:cs="Arial"/>
          <w:sz w:val="24"/>
          <w:szCs w:val="24"/>
        </w:rPr>
        <w:t>. The</w:t>
      </w:r>
      <w:r w:rsidR="00DD2D3C">
        <w:rPr>
          <w:rFonts w:ascii="Arial" w:hAnsi="Arial" w:cs="Arial"/>
          <w:sz w:val="24"/>
          <w:szCs w:val="24"/>
        </w:rPr>
        <w:t xml:space="preserve"> ECC</w:t>
      </w:r>
      <w:r w:rsidRPr="00817243">
        <w:rPr>
          <w:rFonts w:ascii="Arial" w:hAnsi="Arial" w:cs="Arial"/>
          <w:sz w:val="24"/>
          <w:szCs w:val="24"/>
        </w:rPr>
        <w:t xml:space="preserve"> form </w:t>
      </w:r>
      <w:r w:rsidR="00DD2D3C">
        <w:rPr>
          <w:rFonts w:ascii="Arial" w:hAnsi="Arial" w:cs="Arial"/>
          <w:sz w:val="24"/>
          <w:szCs w:val="24"/>
        </w:rPr>
        <w:t>shall</w:t>
      </w:r>
      <w:r w:rsidRPr="00817243">
        <w:rPr>
          <w:rFonts w:ascii="Arial" w:hAnsi="Arial" w:cs="Arial"/>
          <w:sz w:val="24"/>
          <w:szCs w:val="24"/>
        </w:rPr>
        <w:t xml:space="preserve"> be kept at the lock box</w:t>
      </w:r>
      <w:r w:rsidR="00005D57">
        <w:rPr>
          <w:rFonts w:ascii="Arial" w:hAnsi="Arial" w:cs="Arial"/>
          <w:sz w:val="24"/>
          <w:szCs w:val="24"/>
        </w:rPr>
        <w:t>,</w:t>
      </w:r>
      <w:r w:rsidRPr="00817243">
        <w:rPr>
          <w:rFonts w:ascii="Arial" w:hAnsi="Arial" w:cs="Arial"/>
          <w:sz w:val="24"/>
          <w:szCs w:val="24"/>
        </w:rPr>
        <w:t xml:space="preserve"> </w:t>
      </w:r>
      <w:r w:rsidR="00005D57">
        <w:rPr>
          <w:rFonts w:ascii="Arial" w:hAnsi="Arial" w:cs="Arial"/>
          <w:sz w:val="24"/>
          <w:szCs w:val="24"/>
        </w:rPr>
        <w:t>except during the ECC transfer process</w:t>
      </w:r>
      <w:r w:rsidRPr="00817243">
        <w:rPr>
          <w:rFonts w:ascii="Arial" w:hAnsi="Arial" w:cs="Arial"/>
          <w:sz w:val="24"/>
          <w:szCs w:val="24"/>
        </w:rPr>
        <w:t>.</w:t>
      </w:r>
      <w:r w:rsidR="00B646EC">
        <w:rPr>
          <w:rFonts w:ascii="Arial" w:hAnsi="Arial" w:cs="Arial"/>
          <w:sz w:val="24"/>
          <w:szCs w:val="24"/>
        </w:rPr>
        <w:t xml:space="preserve"> If an electronic ECC form is being used it shall be readily available/accessible for review</w:t>
      </w:r>
      <w:r w:rsidR="000906F1">
        <w:rPr>
          <w:rFonts w:ascii="Arial" w:hAnsi="Arial" w:cs="Arial"/>
          <w:sz w:val="24"/>
          <w:szCs w:val="24"/>
        </w:rPr>
        <w:t>.</w:t>
      </w:r>
    </w:p>
    <w:p w14:paraId="4F8C5FBF" w14:textId="5CB248EB" w:rsidR="000906F1" w:rsidRPr="00817243" w:rsidRDefault="000906F1" w:rsidP="00817243">
      <w:pPr>
        <w:rPr>
          <w:rFonts w:ascii="Arial" w:hAnsi="Arial" w:cs="Arial"/>
          <w:sz w:val="24"/>
          <w:szCs w:val="24"/>
        </w:rPr>
      </w:pPr>
      <w:r>
        <w:rPr>
          <w:rFonts w:ascii="Arial" w:hAnsi="Arial" w:cs="Arial"/>
          <w:sz w:val="24"/>
          <w:szCs w:val="24"/>
        </w:rPr>
        <w:t xml:space="preserve">Personal locks shall not be utilized as ECC </w:t>
      </w:r>
      <w:r w:rsidR="007A4E4D">
        <w:rPr>
          <w:rFonts w:ascii="Arial" w:hAnsi="Arial" w:cs="Arial"/>
          <w:sz w:val="24"/>
          <w:szCs w:val="24"/>
        </w:rPr>
        <w:t>locks.</w:t>
      </w:r>
      <w:r w:rsidR="00270C83">
        <w:rPr>
          <w:rFonts w:ascii="Arial" w:hAnsi="Arial" w:cs="Arial"/>
          <w:sz w:val="24"/>
          <w:szCs w:val="24"/>
        </w:rPr>
        <w:t xml:space="preserve"> If the Energy Control Coordinator is performing work </w:t>
      </w:r>
      <w:r w:rsidR="00DE26E6">
        <w:rPr>
          <w:rFonts w:ascii="Arial" w:hAnsi="Arial" w:cs="Arial"/>
          <w:sz w:val="24"/>
          <w:szCs w:val="24"/>
        </w:rPr>
        <w:t>on the system they are ECC for, they shall place their personal LOTOTO lock on the group lockout</w:t>
      </w:r>
      <w:r w:rsidR="00140979">
        <w:rPr>
          <w:rFonts w:ascii="Arial" w:hAnsi="Arial" w:cs="Arial"/>
          <w:sz w:val="24"/>
          <w:szCs w:val="24"/>
        </w:rPr>
        <w:t xml:space="preserve"> along with the ECC lock they are in charge of.</w:t>
      </w:r>
      <w:r w:rsidR="007A4E4D">
        <w:rPr>
          <w:rFonts w:ascii="Arial" w:hAnsi="Arial" w:cs="Arial"/>
          <w:sz w:val="24"/>
          <w:szCs w:val="24"/>
        </w:rPr>
        <w:t xml:space="preserve"> The Energy</w:t>
      </w:r>
      <w:r w:rsidR="00B614F6">
        <w:rPr>
          <w:rFonts w:ascii="Arial" w:hAnsi="Arial" w:cs="Arial"/>
          <w:sz w:val="24"/>
          <w:szCs w:val="24"/>
        </w:rPr>
        <w:t xml:space="preserve"> Control Coordinator shall maint</w:t>
      </w:r>
      <w:r w:rsidR="003E78F0">
        <w:rPr>
          <w:rFonts w:ascii="Arial" w:hAnsi="Arial" w:cs="Arial"/>
          <w:sz w:val="24"/>
          <w:szCs w:val="24"/>
        </w:rPr>
        <w:t xml:space="preserve">ain the ECC key in their possession at all times, except for when they have transferred ownership of the </w:t>
      </w:r>
      <w:r w:rsidR="00C538BD">
        <w:rPr>
          <w:rFonts w:ascii="Arial" w:hAnsi="Arial" w:cs="Arial"/>
          <w:sz w:val="24"/>
          <w:szCs w:val="24"/>
        </w:rPr>
        <w:t>ECC lockout to a new Energy Control Coordinator.</w:t>
      </w:r>
      <w:r w:rsidR="007A4E4D">
        <w:rPr>
          <w:rFonts w:ascii="Arial" w:hAnsi="Arial" w:cs="Arial"/>
          <w:sz w:val="24"/>
          <w:szCs w:val="24"/>
        </w:rPr>
        <w:t xml:space="preserve"> </w:t>
      </w:r>
    </w:p>
    <w:p w14:paraId="69339486" w14:textId="47C9BEDB" w:rsidR="00794EAD" w:rsidRPr="00752497" w:rsidRDefault="00794EAD" w:rsidP="00794EAD">
      <w:pPr>
        <w:rPr>
          <w:rFonts w:ascii="Arial" w:hAnsi="Arial" w:cs="Arial"/>
          <w:sz w:val="24"/>
          <w:szCs w:val="24"/>
        </w:rPr>
      </w:pPr>
    </w:p>
    <w:tbl>
      <w:tblPr>
        <w:tblStyle w:val="TableGrid"/>
        <w:tblW w:w="0" w:type="auto"/>
        <w:tblLook w:val="04A0" w:firstRow="1" w:lastRow="0" w:firstColumn="1" w:lastColumn="0" w:noHBand="0" w:noVBand="1"/>
      </w:tblPr>
      <w:tblGrid>
        <w:gridCol w:w="2335"/>
        <w:gridCol w:w="7015"/>
      </w:tblGrid>
      <w:tr w:rsidR="00143A4A" w:rsidRPr="00752497" w14:paraId="13FED685" w14:textId="77777777" w:rsidTr="00143A4A">
        <w:tc>
          <w:tcPr>
            <w:tcW w:w="2335" w:type="dxa"/>
          </w:tcPr>
          <w:p w14:paraId="3CB92FCA" w14:textId="43CB07BE" w:rsidR="00143A4A" w:rsidRPr="00752497" w:rsidRDefault="00143A4A" w:rsidP="00794EAD">
            <w:pPr>
              <w:rPr>
                <w:rFonts w:ascii="Arial" w:hAnsi="Arial" w:cs="Arial"/>
                <w:sz w:val="24"/>
                <w:szCs w:val="24"/>
              </w:rPr>
            </w:pPr>
            <w:r w:rsidRPr="00752497">
              <w:rPr>
                <w:rFonts w:ascii="Arial" w:hAnsi="Arial" w:cs="Arial"/>
                <w:sz w:val="24"/>
                <w:szCs w:val="24"/>
              </w:rPr>
              <w:t>Date of Changes</w:t>
            </w:r>
          </w:p>
        </w:tc>
        <w:tc>
          <w:tcPr>
            <w:tcW w:w="7015" w:type="dxa"/>
          </w:tcPr>
          <w:p w14:paraId="4BE464E1" w14:textId="226BD81A" w:rsidR="00143A4A" w:rsidRPr="00752497" w:rsidRDefault="00143A4A" w:rsidP="00794EAD">
            <w:pPr>
              <w:rPr>
                <w:rFonts w:ascii="Arial" w:hAnsi="Arial" w:cs="Arial"/>
                <w:sz w:val="24"/>
                <w:szCs w:val="24"/>
              </w:rPr>
            </w:pPr>
            <w:r w:rsidRPr="00752497">
              <w:rPr>
                <w:rFonts w:ascii="Arial" w:hAnsi="Arial" w:cs="Arial"/>
                <w:sz w:val="24"/>
                <w:szCs w:val="24"/>
              </w:rPr>
              <w:t>Summary of Changes</w:t>
            </w:r>
          </w:p>
        </w:tc>
      </w:tr>
      <w:tr w:rsidR="00143A4A" w:rsidRPr="00752497" w14:paraId="5097EE0E" w14:textId="77777777" w:rsidTr="00143A4A">
        <w:tc>
          <w:tcPr>
            <w:tcW w:w="2335" w:type="dxa"/>
          </w:tcPr>
          <w:p w14:paraId="57193EE0" w14:textId="11132792" w:rsidR="00143A4A" w:rsidRPr="00752497" w:rsidRDefault="00143A4A" w:rsidP="00794EAD">
            <w:pPr>
              <w:rPr>
                <w:rFonts w:ascii="Arial" w:hAnsi="Arial" w:cs="Arial"/>
                <w:sz w:val="24"/>
                <w:szCs w:val="24"/>
              </w:rPr>
            </w:pPr>
            <w:r w:rsidRPr="00752497">
              <w:rPr>
                <w:rFonts w:ascii="Arial" w:hAnsi="Arial" w:cs="Arial"/>
                <w:sz w:val="24"/>
                <w:szCs w:val="24"/>
              </w:rPr>
              <w:t>August 2024</w:t>
            </w:r>
          </w:p>
        </w:tc>
        <w:tc>
          <w:tcPr>
            <w:tcW w:w="7015" w:type="dxa"/>
          </w:tcPr>
          <w:p w14:paraId="32786A6F" w14:textId="1A094378" w:rsidR="00143A4A" w:rsidRPr="00752497" w:rsidRDefault="00143A4A" w:rsidP="00794EAD">
            <w:pPr>
              <w:rPr>
                <w:rFonts w:ascii="Arial" w:hAnsi="Arial" w:cs="Arial"/>
                <w:sz w:val="24"/>
                <w:szCs w:val="24"/>
              </w:rPr>
            </w:pPr>
            <w:r w:rsidRPr="00752497">
              <w:rPr>
                <w:rFonts w:ascii="Arial" w:hAnsi="Arial" w:cs="Arial"/>
                <w:sz w:val="24"/>
                <w:szCs w:val="24"/>
              </w:rPr>
              <w:t>Reformatted. Removed description of tag IDs. Removed information referenced in current corporate policy and out of date policy information.</w:t>
            </w:r>
          </w:p>
        </w:tc>
      </w:tr>
      <w:tr w:rsidR="00143A4A" w:rsidRPr="00752497" w14:paraId="2A032F5C" w14:textId="77777777" w:rsidTr="00143A4A">
        <w:tc>
          <w:tcPr>
            <w:tcW w:w="2335" w:type="dxa"/>
          </w:tcPr>
          <w:p w14:paraId="2AC6EA7A" w14:textId="77777777" w:rsidR="00143A4A" w:rsidRPr="00752497" w:rsidRDefault="00143A4A" w:rsidP="00794EAD">
            <w:pPr>
              <w:rPr>
                <w:rFonts w:ascii="Arial" w:hAnsi="Arial" w:cs="Arial"/>
                <w:sz w:val="24"/>
                <w:szCs w:val="24"/>
              </w:rPr>
            </w:pPr>
          </w:p>
        </w:tc>
        <w:tc>
          <w:tcPr>
            <w:tcW w:w="7015" w:type="dxa"/>
          </w:tcPr>
          <w:p w14:paraId="6F945EBB" w14:textId="7E8E0E48" w:rsidR="00143A4A" w:rsidRPr="00752497" w:rsidRDefault="00143A4A" w:rsidP="00794EAD">
            <w:pPr>
              <w:rPr>
                <w:rFonts w:ascii="Arial" w:hAnsi="Arial" w:cs="Arial"/>
                <w:sz w:val="24"/>
                <w:szCs w:val="24"/>
              </w:rPr>
            </w:pPr>
          </w:p>
        </w:tc>
      </w:tr>
      <w:tr w:rsidR="00143A4A" w:rsidRPr="00752497" w14:paraId="4CDE9465" w14:textId="77777777" w:rsidTr="00143A4A">
        <w:tc>
          <w:tcPr>
            <w:tcW w:w="2335" w:type="dxa"/>
          </w:tcPr>
          <w:p w14:paraId="176A3818" w14:textId="77777777" w:rsidR="00143A4A" w:rsidRPr="00752497" w:rsidRDefault="00143A4A" w:rsidP="00794EAD">
            <w:pPr>
              <w:rPr>
                <w:rFonts w:ascii="Arial" w:hAnsi="Arial" w:cs="Arial"/>
                <w:sz w:val="24"/>
                <w:szCs w:val="24"/>
              </w:rPr>
            </w:pPr>
          </w:p>
        </w:tc>
        <w:tc>
          <w:tcPr>
            <w:tcW w:w="7015" w:type="dxa"/>
          </w:tcPr>
          <w:p w14:paraId="573CA6F9" w14:textId="2C1E09C9" w:rsidR="00143A4A" w:rsidRPr="00752497" w:rsidRDefault="00143A4A" w:rsidP="00794EAD">
            <w:pPr>
              <w:rPr>
                <w:rFonts w:ascii="Arial" w:hAnsi="Arial" w:cs="Arial"/>
                <w:sz w:val="24"/>
                <w:szCs w:val="24"/>
              </w:rPr>
            </w:pPr>
          </w:p>
        </w:tc>
      </w:tr>
      <w:tr w:rsidR="00143A4A" w:rsidRPr="00715B44" w14:paraId="352A398C" w14:textId="77777777" w:rsidTr="00143A4A">
        <w:tc>
          <w:tcPr>
            <w:tcW w:w="2335" w:type="dxa"/>
          </w:tcPr>
          <w:p w14:paraId="6FE0B106" w14:textId="77777777" w:rsidR="00143A4A" w:rsidRPr="00715B44" w:rsidRDefault="00143A4A" w:rsidP="00794EAD">
            <w:pPr>
              <w:rPr>
                <w:rFonts w:ascii="Arial" w:hAnsi="Arial" w:cs="Arial"/>
                <w:sz w:val="28"/>
                <w:szCs w:val="28"/>
              </w:rPr>
            </w:pPr>
          </w:p>
        </w:tc>
        <w:tc>
          <w:tcPr>
            <w:tcW w:w="7015" w:type="dxa"/>
          </w:tcPr>
          <w:p w14:paraId="11EFBCCA" w14:textId="60F69C8D" w:rsidR="00143A4A" w:rsidRPr="00715B44" w:rsidRDefault="00143A4A" w:rsidP="00794EAD">
            <w:pPr>
              <w:rPr>
                <w:rFonts w:ascii="Arial" w:hAnsi="Arial" w:cs="Arial"/>
                <w:sz w:val="28"/>
                <w:szCs w:val="28"/>
              </w:rPr>
            </w:pPr>
          </w:p>
        </w:tc>
      </w:tr>
      <w:tr w:rsidR="00143A4A" w:rsidRPr="00715B44" w14:paraId="6976941E" w14:textId="77777777" w:rsidTr="00143A4A">
        <w:tc>
          <w:tcPr>
            <w:tcW w:w="2335" w:type="dxa"/>
          </w:tcPr>
          <w:p w14:paraId="48138BF8" w14:textId="77777777" w:rsidR="00143A4A" w:rsidRPr="00715B44" w:rsidRDefault="00143A4A" w:rsidP="00794EAD">
            <w:pPr>
              <w:rPr>
                <w:rFonts w:ascii="Arial" w:hAnsi="Arial" w:cs="Arial"/>
                <w:sz w:val="28"/>
                <w:szCs w:val="28"/>
              </w:rPr>
            </w:pPr>
          </w:p>
        </w:tc>
        <w:tc>
          <w:tcPr>
            <w:tcW w:w="7015" w:type="dxa"/>
          </w:tcPr>
          <w:p w14:paraId="2FEE7120" w14:textId="19F43149" w:rsidR="00143A4A" w:rsidRPr="00715B44" w:rsidRDefault="00143A4A" w:rsidP="00794EAD">
            <w:pPr>
              <w:rPr>
                <w:rFonts w:ascii="Arial" w:hAnsi="Arial" w:cs="Arial"/>
                <w:sz w:val="28"/>
                <w:szCs w:val="28"/>
              </w:rPr>
            </w:pPr>
          </w:p>
        </w:tc>
      </w:tr>
      <w:tr w:rsidR="00143A4A" w:rsidRPr="00715B44" w14:paraId="4A2C0197" w14:textId="77777777" w:rsidTr="00143A4A">
        <w:tc>
          <w:tcPr>
            <w:tcW w:w="2335" w:type="dxa"/>
          </w:tcPr>
          <w:p w14:paraId="23CA70BB" w14:textId="77777777" w:rsidR="00143A4A" w:rsidRPr="00715B44" w:rsidRDefault="00143A4A" w:rsidP="00794EAD">
            <w:pPr>
              <w:rPr>
                <w:rFonts w:ascii="Arial" w:hAnsi="Arial" w:cs="Arial"/>
                <w:sz w:val="28"/>
                <w:szCs w:val="28"/>
              </w:rPr>
            </w:pPr>
          </w:p>
        </w:tc>
        <w:tc>
          <w:tcPr>
            <w:tcW w:w="7015" w:type="dxa"/>
          </w:tcPr>
          <w:p w14:paraId="051D2549" w14:textId="30ED89C1" w:rsidR="00143A4A" w:rsidRPr="00715B44" w:rsidRDefault="00143A4A" w:rsidP="00794EAD">
            <w:pPr>
              <w:rPr>
                <w:rFonts w:ascii="Arial" w:hAnsi="Arial" w:cs="Arial"/>
                <w:sz w:val="28"/>
                <w:szCs w:val="28"/>
              </w:rPr>
            </w:pPr>
          </w:p>
        </w:tc>
      </w:tr>
    </w:tbl>
    <w:p w14:paraId="21ABBEA9" w14:textId="77777777" w:rsidR="00794EAD" w:rsidRPr="00794EAD" w:rsidRDefault="00794EAD" w:rsidP="00794EAD">
      <w:pPr>
        <w:rPr>
          <w:sz w:val="28"/>
          <w:szCs w:val="28"/>
        </w:rPr>
      </w:pPr>
    </w:p>
    <w:sectPr w:rsidR="00794EAD" w:rsidRPr="00794EA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9661" w14:textId="77777777" w:rsidR="006C6529" w:rsidRDefault="006C6529" w:rsidP="00143A4A">
      <w:pPr>
        <w:spacing w:after="0" w:line="240" w:lineRule="auto"/>
      </w:pPr>
      <w:r>
        <w:separator/>
      </w:r>
    </w:p>
  </w:endnote>
  <w:endnote w:type="continuationSeparator" w:id="0">
    <w:p w14:paraId="797316AC" w14:textId="77777777" w:rsidR="006C6529" w:rsidRDefault="006C6529" w:rsidP="0014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8642" w14:textId="251BD40A" w:rsidR="0049653C" w:rsidRPr="007C411E" w:rsidRDefault="0049653C" w:rsidP="007C411E">
    <w:pPr>
      <w:pStyle w:val="Footer"/>
      <w:jc w:val="center"/>
      <w:rPr>
        <w:i/>
        <w:iCs/>
      </w:rPr>
    </w:pPr>
    <w:r w:rsidRPr="007C411E">
      <w:rPr>
        <w:i/>
        <w:iCs/>
      </w:rPr>
      <w:t>Intranet posted document is controlled copy. Verify printed version is current prior to use.</w:t>
    </w:r>
  </w:p>
  <w:p w14:paraId="19AA9429" w14:textId="77777777" w:rsidR="0049653C" w:rsidRDefault="00496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EEB1" w14:textId="77777777" w:rsidR="006C6529" w:rsidRDefault="006C6529" w:rsidP="00143A4A">
      <w:pPr>
        <w:spacing w:after="0" w:line="240" w:lineRule="auto"/>
      </w:pPr>
      <w:r>
        <w:separator/>
      </w:r>
    </w:p>
  </w:footnote>
  <w:footnote w:type="continuationSeparator" w:id="0">
    <w:p w14:paraId="4E490013" w14:textId="77777777" w:rsidR="006C6529" w:rsidRDefault="006C6529" w:rsidP="0014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2F98" w14:textId="3ED60C86" w:rsidR="00143A4A" w:rsidRDefault="00143A4A">
    <w:pPr>
      <w:pStyle w:val="Header"/>
    </w:pPr>
    <w:r>
      <w:rPr>
        <w:noProof/>
      </w:rPr>
      <w:drawing>
        <wp:inline distT="0" distB="0" distL="0" distR="0" wp14:anchorId="46DBBE54" wp14:editId="04D3C6E3">
          <wp:extent cx="1554480" cy="18234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54480" cy="182340"/>
                  </a:xfrm>
                  <a:prstGeom prst="rect">
                    <a:avLst/>
                  </a:prstGeom>
                </pic:spPr>
              </pic:pic>
            </a:graphicData>
          </a:graphic>
        </wp:inline>
      </w:drawing>
    </w:r>
  </w:p>
  <w:p w14:paraId="050820F5" w14:textId="77777777" w:rsidR="00143A4A" w:rsidRDefault="00143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E5115"/>
    <w:multiLevelType w:val="hybridMultilevel"/>
    <w:tmpl w:val="AAAE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128DC"/>
    <w:multiLevelType w:val="hybridMultilevel"/>
    <w:tmpl w:val="3D9044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1562064">
    <w:abstractNumId w:val="0"/>
  </w:num>
  <w:num w:numId="2" w16cid:durableId="391999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AD"/>
    <w:rsid w:val="00005D57"/>
    <w:rsid w:val="000332BD"/>
    <w:rsid w:val="00041AF7"/>
    <w:rsid w:val="000671A8"/>
    <w:rsid w:val="00081900"/>
    <w:rsid w:val="000906F1"/>
    <w:rsid w:val="000A2986"/>
    <w:rsid w:val="00140979"/>
    <w:rsid w:val="00143A4A"/>
    <w:rsid w:val="001822A4"/>
    <w:rsid w:val="001F5F53"/>
    <w:rsid w:val="00233881"/>
    <w:rsid w:val="002404DD"/>
    <w:rsid w:val="00270C83"/>
    <w:rsid w:val="002C2110"/>
    <w:rsid w:val="002D65E2"/>
    <w:rsid w:val="002E1FA5"/>
    <w:rsid w:val="003C5F67"/>
    <w:rsid w:val="003E78F0"/>
    <w:rsid w:val="0043169B"/>
    <w:rsid w:val="004466B9"/>
    <w:rsid w:val="00456C1C"/>
    <w:rsid w:val="0049653C"/>
    <w:rsid w:val="004D733A"/>
    <w:rsid w:val="004E4A9F"/>
    <w:rsid w:val="00571EF8"/>
    <w:rsid w:val="00656818"/>
    <w:rsid w:val="00662B47"/>
    <w:rsid w:val="006C5989"/>
    <w:rsid w:val="006C6529"/>
    <w:rsid w:val="006E79AF"/>
    <w:rsid w:val="0071035C"/>
    <w:rsid w:val="00715B44"/>
    <w:rsid w:val="00752497"/>
    <w:rsid w:val="00794EAD"/>
    <w:rsid w:val="007A4E4D"/>
    <w:rsid w:val="007C3CE2"/>
    <w:rsid w:val="007C411E"/>
    <w:rsid w:val="00817243"/>
    <w:rsid w:val="008348E3"/>
    <w:rsid w:val="00856E15"/>
    <w:rsid w:val="009456B5"/>
    <w:rsid w:val="009B6931"/>
    <w:rsid w:val="009F71FB"/>
    <w:rsid w:val="00A9390A"/>
    <w:rsid w:val="00AA2B36"/>
    <w:rsid w:val="00AD104C"/>
    <w:rsid w:val="00B17C7E"/>
    <w:rsid w:val="00B614F6"/>
    <w:rsid w:val="00B646EC"/>
    <w:rsid w:val="00B87FC5"/>
    <w:rsid w:val="00C538BD"/>
    <w:rsid w:val="00C841D3"/>
    <w:rsid w:val="00CF6E07"/>
    <w:rsid w:val="00D40D92"/>
    <w:rsid w:val="00D9781E"/>
    <w:rsid w:val="00DD2D3C"/>
    <w:rsid w:val="00DE26E6"/>
    <w:rsid w:val="00F32490"/>
    <w:rsid w:val="00F40280"/>
    <w:rsid w:val="00F73D91"/>
    <w:rsid w:val="00FC6F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1964"/>
  <w15:chartTrackingRefBased/>
  <w15:docId w15:val="{1CA8A0A8-B9CB-424D-9C95-07101BE4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EAD"/>
    <w:pPr>
      <w:ind w:left="720"/>
      <w:contextualSpacing/>
    </w:pPr>
  </w:style>
  <w:style w:type="table" w:styleId="TableGrid">
    <w:name w:val="Table Grid"/>
    <w:basedOn w:val="TableNormal"/>
    <w:uiPriority w:val="39"/>
    <w:rsid w:val="00794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A4A"/>
  </w:style>
  <w:style w:type="paragraph" w:styleId="Footer">
    <w:name w:val="footer"/>
    <w:basedOn w:val="Normal"/>
    <w:link w:val="FooterChar"/>
    <w:uiPriority w:val="99"/>
    <w:unhideWhenUsed/>
    <w:rsid w:val="00143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A4A"/>
  </w:style>
  <w:style w:type="character" w:styleId="CommentReference">
    <w:name w:val="annotation reference"/>
    <w:basedOn w:val="DefaultParagraphFont"/>
    <w:uiPriority w:val="99"/>
    <w:semiHidden/>
    <w:unhideWhenUsed/>
    <w:rsid w:val="009F71FB"/>
    <w:rPr>
      <w:sz w:val="16"/>
      <w:szCs w:val="16"/>
    </w:rPr>
  </w:style>
  <w:style w:type="paragraph" w:styleId="CommentText">
    <w:name w:val="annotation text"/>
    <w:basedOn w:val="Normal"/>
    <w:link w:val="CommentTextChar"/>
    <w:uiPriority w:val="99"/>
    <w:unhideWhenUsed/>
    <w:rsid w:val="009F71FB"/>
    <w:pPr>
      <w:spacing w:line="240" w:lineRule="auto"/>
    </w:pPr>
    <w:rPr>
      <w:sz w:val="20"/>
      <w:szCs w:val="20"/>
    </w:rPr>
  </w:style>
  <w:style w:type="character" w:customStyle="1" w:styleId="CommentTextChar">
    <w:name w:val="Comment Text Char"/>
    <w:basedOn w:val="DefaultParagraphFont"/>
    <w:link w:val="CommentText"/>
    <w:uiPriority w:val="99"/>
    <w:rsid w:val="009F71FB"/>
    <w:rPr>
      <w:sz w:val="20"/>
      <w:szCs w:val="20"/>
    </w:rPr>
  </w:style>
  <w:style w:type="paragraph" w:styleId="CommentSubject">
    <w:name w:val="annotation subject"/>
    <w:basedOn w:val="CommentText"/>
    <w:next w:val="CommentText"/>
    <w:link w:val="CommentSubjectChar"/>
    <w:uiPriority w:val="99"/>
    <w:semiHidden/>
    <w:unhideWhenUsed/>
    <w:rsid w:val="009F71FB"/>
    <w:rPr>
      <w:b/>
      <w:bCs/>
    </w:rPr>
  </w:style>
  <w:style w:type="character" w:customStyle="1" w:styleId="CommentSubjectChar">
    <w:name w:val="Comment Subject Char"/>
    <w:basedOn w:val="CommentTextChar"/>
    <w:link w:val="CommentSubject"/>
    <w:uiPriority w:val="99"/>
    <w:semiHidden/>
    <w:rsid w:val="009F7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M_x0020_DPT xmlns="b5ba0a33-b247-4d4b-b9ae-c709af684fd3">Health &amp; Safety</FM_x0020_DPT>
    <FM_x0020_Ent_x0020_TaxonomyTaxHTField0 xmlns="b5ba0a33-b247-4d4b-b9ae-c709af684fd3">
      <Terms xmlns="http://schemas.microsoft.com/office/infopath/2007/PartnerControls"/>
    </FM_x0020_Ent_x0020_TaxonomyTaxHTField0>
    <Year xmlns="550542da-dcd0-47c3-967c-eb68b6548861">2024</Year>
    <FM_x0020_Doc_x0020_TypeTaxHTField0 xmlns="b5ba0a33-b247-4d4b-b9ae-c709af684fd3">
      <Terms xmlns="http://schemas.microsoft.com/office/infopath/2007/PartnerControls"/>
    </FM_x0020_Doc_x0020_TypeTaxHTField0>
    <TaxCatchAll xmlns="b5ba0a33-b247-4d4b-b9ae-c709af684fd3">
      <Value>4</Value>
    </TaxCatchAll>
    <o79fb0eb13274969baa8945b2a62dcda xmlns="b5ba0a33-b247-4d4b-b9ae-c709af684fd3">
      <Terms xmlns="http://schemas.microsoft.com/office/infopath/2007/PartnerControls">
        <TermInfo xmlns="http://schemas.microsoft.com/office/infopath/2007/PartnerControls">
          <TermName xmlns="http://schemas.microsoft.com/office/infopath/2007/PartnerControls">Health and Safety - General</TermName>
          <TermId xmlns="http://schemas.microsoft.com/office/infopath/2007/PartnerControls">0dfe420d-17ff-45dc-a991-4ec628acd5ff</TermId>
        </TermInfo>
      </Terms>
    </o79fb0eb13274969baa8945b2a62dcda>
    <FM_x0020_LOC xmlns="b5ba0a33-b247-4d4b-b9ae-c709af684fd3">Miami</FM_x0020_LOC>
    <Plan_x0020_Type xmlns="5bc1de0f-4ca0-4fa2-a15e-05237646a9be">Site Programs/Procedures</Plan_x0020_Type>
  </documentManagement>
</p:properties>
</file>

<file path=customXml/item2.xml><?xml version="1.0" encoding="utf-8"?>
<ct:contentTypeSchema xmlns:ct="http://schemas.microsoft.com/office/2006/metadata/contentType" xmlns:ma="http://schemas.microsoft.com/office/2006/metadata/properties/metaAttributes" ct:_="" ma:_="" ma:contentTypeName="FM Document" ma:contentTypeID="0x01010046829DE55437B147B48D1766376E3D6B00990FAA0B09803543A95A8A9C9C08AFEA" ma:contentTypeVersion="13" ma:contentTypeDescription="Document Content Type" ma:contentTypeScope="" ma:versionID="d75fcc78961f5ce9a0430b0c80ce8f2f">
  <xsd:schema xmlns:xsd="http://www.w3.org/2001/XMLSchema" xmlns:xs="http://www.w3.org/2001/XMLSchema" xmlns:p="http://schemas.microsoft.com/office/2006/metadata/properties" xmlns:ns2="b5ba0a33-b247-4d4b-b9ae-c709af684fd3" xmlns:ns3="550542da-dcd0-47c3-967c-eb68b6548861" xmlns:ns4="5bc1de0f-4ca0-4fa2-a15e-05237646a9be" xmlns:ns5="ff19084a-b24c-4fcd-8bc3-62bb086bb94a" targetNamespace="http://schemas.microsoft.com/office/2006/metadata/properties" ma:root="true" ma:fieldsID="e12c3c918dc20629e33938e3d7f04e03" ns2:_="" ns3:_="" ns4:_="" ns5:_="">
    <xsd:import namespace="b5ba0a33-b247-4d4b-b9ae-c709af684fd3"/>
    <xsd:import namespace="550542da-dcd0-47c3-967c-eb68b6548861"/>
    <xsd:import namespace="5bc1de0f-4ca0-4fa2-a15e-05237646a9be"/>
    <xsd:import namespace="ff19084a-b24c-4fcd-8bc3-62bb086bb94a"/>
    <xsd:element name="properties">
      <xsd:complexType>
        <xsd:sequence>
          <xsd:element name="documentManagement">
            <xsd:complexType>
              <xsd:all>
                <xsd:element ref="ns2:TaxCatchAll" minOccurs="0"/>
                <xsd:element ref="ns2:TaxCatchAllLabel" minOccurs="0"/>
                <xsd:element ref="ns2:o79fb0eb13274969baa8945b2a62dcda" minOccurs="0"/>
                <xsd:element ref="ns2:FM_x0020_Ent_x0020_TaxonomyTaxHTField0" minOccurs="0"/>
                <xsd:element ref="ns2:FM_x0020_Doc_x0020_TypeTaxHTField0" minOccurs="0"/>
                <xsd:element ref="ns2:FM_x0020_DPT" minOccurs="0"/>
                <xsd:element ref="ns2:FM_x0020_LOC" minOccurs="0"/>
                <xsd:element ref="ns3:Year" minOccurs="0"/>
                <xsd:element ref="ns4:Plan_x0020_Type"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0a33-b247-4d4b-b9ae-c709af684fd3"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2e5f6014-1d76-4e30-9dd4-ebfadd0fcf78}" ma:internalName="TaxCatchAll" ma:showField="CatchAllData" ma:web="ff19084a-b24c-4fcd-8bc3-62bb086bb94a">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2e5f6014-1d76-4e30-9dd4-ebfadd0fcf78}" ma:internalName="TaxCatchAllLabel" ma:readOnly="true" ma:showField="CatchAllDataLabel" ma:web="ff19084a-b24c-4fcd-8bc3-62bb086bb94a">
      <xsd:complexType>
        <xsd:complexContent>
          <xsd:extension base="dms:MultiChoiceLookup">
            <xsd:sequence>
              <xsd:element name="Value" type="dms:Lookup" maxOccurs="unbounded" minOccurs="0" nillable="true"/>
            </xsd:sequence>
          </xsd:extension>
        </xsd:complexContent>
      </xsd:complexType>
    </xsd:element>
    <xsd:element name="o79fb0eb13274969baa8945b2a62dcda" ma:index="5" ma:taxonomy="true" ma:internalName="o79fb0eb13274969baa8945b2a62dcda" ma:taxonomyFieldName="FM_x0020_Retention_x0020_Category" ma:displayName="FM Retention Category" ma:readOnly="false" ma:default="4;#Health ＆ Safety - General|0dfe420d-17ff-45dc-a991-4ec628acd5ff" ma:fieldId="{879fb0eb-1327-4969-baa8-945b2a62dcda}" ma:sspId="b7e16863-b940-4291-96f8-ad8461baff96" ma:termSetId="3287f003-fa19-4de9-9d01-e5aef60515f6" ma:anchorId="00000000-0000-0000-0000-000000000000" ma:open="false" ma:isKeyword="false">
      <xsd:complexType>
        <xsd:sequence>
          <xsd:element ref="pc:Terms" minOccurs="0" maxOccurs="1"/>
        </xsd:sequence>
      </xsd:complexType>
    </xsd:element>
    <xsd:element name="FM_x0020_Ent_x0020_TaxonomyTaxHTField0" ma:index="7" nillable="true" ma:taxonomy="true" ma:internalName="FM_x0020_Ent_x0020_TaxonomyTaxHTField0" ma:taxonomyFieldName="FM_x0020_Ent_x0020_Taxonomy" ma:displayName="FM Business Process" ma:readOnly="false" ma:default="" ma:fieldId="{b40ec4b2-9645-411d-a03c-9e8ab0f1f2d4}" ma:sspId="b7e16863-b940-4291-96f8-ad8461baff96" ma:termSetId="3d1ce9c8-a01a-4b28-93f4-bc23cae590ff" ma:anchorId="00000000-0000-0000-0000-000000000000" ma:open="false" ma:isKeyword="false">
      <xsd:complexType>
        <xsd:sequence>
          <xsd:element ref="pc:Terms" minOccurs="0" maxOccurs="1"/>
        </xsd:sequence>
      </xsd:complexType>
    </xsd:element>
    <xsd:element name="FM_x0020_Doc_x0020_TypeTaxHTField0" ma:index="9" nillable="true" ma:taxonomy="true" ma:internalName="FM_x0020_Doc_x0020_TypeTaxHTField0" ma:taxonomyFieldName="FM_x0020_Doc_x0020_Type" ma:displayName="FM Doc Type" ma:readOnly="false" ma:default="" ma:fieldId="{bfb78ee2-975a-4f84-839c-ed91d42d4105}" ma:sspId="b7e16863-b940-4291-96f8-ad8461baff96" ma:termSetId="af82bb66-37d5-47da-967c-ea1eda9481cb" ma:anchorId="00000000-0000-0000-0000-000000000000" ma:open="false" ma:isKeyword="false">
      <xsd:complexType>
        <xsd:sequence>
          <xsd:element ref="pc:Terms" minOccurs="0" maxOccurs="1"/>
        </xsd:sequence>
      </xsd:complexType>
    </xsd:element>
    <xsd:element name="FM_x0020_DPT" ma:index="13" nillable="true" ma:displayName="FM DPT" ma:default="Health &amp; Safety" ma:description="This column is used to assign FMI Department" ma:format="Dropdown" ma:hidden="true" ma:internalName="FM_x0020_DPT" ma:readOnly="false">
      <xsd:simpleType>
        <xsd:restriction base="dms:Choice">
          <xsd:enumeration value="Accounts Payable"/>
          <xsd:enumeration value="Administration"/>
          <xsd:enumeration value="Climax Moly Company"/>
          <xsd:enumeration value="Communications"/>
          <xsd:enumeration value="Community / Administrative Services"/>
          <xsd:enumeration value="Community Relations/Social Resp"/>
          <xsd:enumeration value="Corporate Communications"/>
          <xsd:enumeration value="Custom Applications"/>
          <xsd:enumeration value="Environmental / Sustainable Development"/>
          <xsd:enumeration value="Exploration"/>
          <xsd:enumeration value="Exploration / Geology"/>
          <xsd:enumeration value="External Communications"/>
          <xsd:enumeration value="Finance"/>
          <xsd:enumeration value="Finance / Accounting / Tax"/>
          <xsd:enumeration value="Financial Shared Services"/>
          <xsd:enumeration value="FM Africa"/>
          <xsd:enumeration value="FM Americas"/>
          <xsd:enumeration value="FM Mining Company"/>
          <xsd:enumeration value="Global Supply Chain"/>
          <xsd:enumeration value="GSC/ Purchasing/ Warehousing"/>
          <xsd:enumeration value="Health &amp; Safety"/>
          <xsd:enumeration value="Human Resources"/>
          <xsd:enumeration value="Legal / Govt Relations"/>
          <xsd:enumeration value="MIS"/>
          <xsd:enumeration value="Operational Improvement"/>
          <xsd:enumeration value="Operations"/>
          <xsd:enumeration value="Operations Smelting"/>
          <xsd:enumeration value="Ops Maintenance"/>
          <xsd:enumeration value="Sales &amp; Marketing"/>
          <xsd:enumeration value="Security"/>
          <xsd:enumeration value="Senior Management (Corp)"/>
          <xsd:enumeration value="Strategic Planning"/>
        </xsd:restriction>
      </xsd:simpleType>
    </xsd:element>
    <xsd:element name="FM_x0020_LOC" ma:index="14" nillable="true" ma:displayName="FM LOC" ma:description="This column is used to assign Location" ma:format="Dropdown" ma:internalName="FM_x0020_LOC" ma:readOnly="false">
      <xsd:simpleType>
        <xsd:restriction base="dms:Choice">
          <xsd:enumeration value="Administrative &amp; Sales"/>
          <xsd:enumeration value="Africa"/>
          <xsd:enumeration value="Ajo"/>
          <xsd:enumeration value="Arequipa"/>
          <xsd:enumeration value="Asia Pacific"/>
          <xsd:enumeration value="Atlantic Copper (Huelva)"/>
          <xsd:enumeration value="Aurex"/>
          <xsd:enumeration value="Australia/Asia"/>
          <xsd:enumeration value="Bagdad"/>
          <xsd:enumeration value="Bayway"/>
          <xsd:enumeration value="Bisbee"/>
          <xsd:enumeration value="Cairns"/>
          <xsd:enumeration value="Candelaria"/>
          <xsd:enumeration value="Central Analytical Service Center"/>
          <xsd:enumeration value="Cerro Verde"/>
          <xsd:enumeration value="Chino"/>
          <xsd:enumeration value="Climax"/>
          <xsd:enumeration value="Climax Technology Center"/>
          <xsd:enumeration value="Cobre"/>
          <xsd:enumeration value="Colorado Data Center"/>
          <xsd:enumeration value="Cotton Center"/>
          <xsd:enumeration value="Data Center"/>
          <xsd:enumeration value="El Abra"/>
          <xsd:enumeration value="El Paso"/>
          <xsd:enumeration value="El Paso Refinery"/>
          <xsd:enumeration value="El Paso Rod"/>
          <xsd:enumeration value="Europe"/>
          <xsd:enumeration value="FMC"/>
          <xsd:enumeration value="Ft Madison"/>
          <xsd:enumeration value="Global"/>
          <xsd:enumeration value="Henderson"/>
          <xsd:enumeration value="Houston"/>
          <xsd:enumeration value="Huelva"/>
          <xsd:enumeration value="Jakarta"/>
          <xsd:enumeration value="Jerome"/>
          <xsd:enumeration value="Johannesburg"/>
          <xsd:enumeration value="Kinetics"/>
          <xsd:enumeration value="Kisanfu"/>
          <xsd:enumeration value="Kokkola"/>
          <xsd:enumeration value="Lafayette"/>
          <xsd:enumeration value="Lubumbashi"/>
          <xsd:enumeration value="Madrid"/>
          <xsd:enumeration value="Miami"/>
          <xsd:enumeration value="Miami Rod"/>
          <xsd:enumeration value="Miami Smelter"/>
          <xsd:enumeration value="Mine Training Institute"/>
          <xsd:enumeration value="Mining"/>
          <xsd:enumeration value="Morenci"/>
          <xsd:enumeration value="New Mexico"/>
          <xsd:enumeration value="NOLA"/>
          <xsd:enumeration value="North America"/>
          <xsd:enumeration value="Norwich"/>
          <xsd:enumeration value="Oil &amp; Gas"/>
          <xsd:enumeration value="Ojos del Salado"/>
          <xsd:enumeration value="Oro Valley"/>
          <xsd:enumeration value="Phoenix"/>
          <xsd:enumeration value="Processing"/>
          <xsd:enumeration value="PTFI"/>
          <xsd:enumeration value="Research &amp; Development"/>
          <xsd:enumeration value="Rotterdam"/>
          <xsd:enumeration value="Safford"/>
          <xsd:enumeration value="Safford Lab"/>
          <xsd:enumeration value="Safford Mine"/>
          <xsd:enumeration value="Sahuarita"/>
          <xsd:enumeration value="Sanchez"/>
          <xsd:enumeration value="Santiago Data Center"/>
          <xsd:enumeration value="Santiago"/>
          <xsd:enumeration value="Shanghai"/>
          <xsd:enumeration value="Sierrita"/>
          <xsd:enumeration value="Singapore"/>
          <xsd:enumeration value="South America"/>
          <xsd:enumeration value="Stowmarket"/>
          <xsd:enumeration value="Technology Center"/>
          <xsd:enumeration value="Tenke Fungurume"/>
          <xsd:enumeration value="Tohono"/>
          <xsd:enumeration value="Tokyo"/>
          <xsd:enumeration value="Tucson Office"/>
          <xsd:enumeration value="Twin Buttes"/>
          <xsd:enumeration value="Tyrone"/>
        </xsd:restriction>
      </xsd:simpleType>
    </xsd:element>
  </xsd:schema>
  <xsd:schema xmlns:xsd="http://www.w3.org/2001/XMLSchema" xmlns:xs="http://www.w3.org/2001/XMLSchema" xmlns:dms="http://schemas.microsoft.com/office/2006/documentManagement/types" xmlns:pc="http://schemas.microsoft.com/office/infopath/2007/PartnerControls" targetNamespace="550542da-dcd0-47c3-967c-eb68b6548861" elementFormDefault="qualified">
    <xsd:import namespace="http://schemas.microsoft.com/office/2006/documentManagement/types"/>
    <xsd:import namespace="http://schemas.microsoft.com/office/infopath/2007/PartnerControls"/>
    <xsd:element name="Year" ma:index="18" nillable="true" ma:displayName="Year" ma:format="Dropdown" ma:internalName="Year">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chema>
  <xsd:schema xmlns:xsd="http://www.w3.org/2001/XMLSchema" xmlns:xs="http://www.w3.org/2001/XMLSchema" xmlns:dms="http://schemas.microsoft.com/office/2006/documentManagement/types" xmlns:pc="http://schemas.microsoft.com/office/infopath/2007/PartnerControls" targetNamespace="5bc1de0f-4ca0-4fa2-a15e-05237646a9be" elementFormDefault="qualified">
    <xsd:import namespace="http://schemas.microsoft.com/office/2006/documentManagement/types"/>
    <xsd:import namespace="http://schemas.microsoft.com/office/infopath/2007/PartnerControls"/>
    <xsd:element name="Plan_x0020_Type" ma:index="19" nillable="true" ma:displayName="Topic" ma:format="Dropdown" ma:internalName="Plan_x0020_Type">
      <xsd:simpleType>
        <xsd:restriction base="dms:Choice">
          <xsd:enumeration value="Forms/Permits"/>
          <xsd:enumeration value="Safe Production Plan"/>
          <xsd:enumeration value="Site Programs/Procedures"/>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9084a-b24c-4fcd-8bc3-62bb086bb94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7e16863-b940-4291-96f8-ad8461baff96" ContentTypeId="0x01010046829DE55437B147B48D1766376E3D6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18798-4F7B-4C91-9A87-C951A252A5A0}">
  <ds:schemaRefs>
    <ds:schemaRef ds:uri="http://schemas.microsoft.com/office/2006/metadata/properties"/>
    <ds:schemaRef ds:uri="http://schemas.microsoft.com/office/infopath/2007/PartnerControls"/>
    <ds:schemaRef ds:uri="b5ba0a33-b247-4d4b-b9ae-c709af684fd3"/>
    <ds:schemaRef ds:uri="550542da-dcd0-47c3-967c-eb68b6548861"/>
    <ds:schemaRef ds:uri="5bc1de0f-4ca0-4fa2-a15e-05237646a9be"/>
  </ds:schemaRefs>
</ds:datastoreItem>
</file>

<file path=customXml/itemProps2.xml><?xml version="1.0" encoding="utf-8"?>
<ds:datastoreItem xmlns:ds="http://schemas.openxmlformats.org/officeDocument/2006/customXml" ds:itemID="{E7CB5193-A94D-4B7C-BA81-01EE1DFCF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0a33-b247-4d4b-b9ae-c709af684fd3"/>
    <ds:schemaRef ds:uri="550542da-dcd0-47c3-967c-eb68b6548861"/>
    <ds:schemaRef ds:uri="5bc1de0f-4ca0-4fa2-a15e-05237646a9be"/>
    <ds:schemaRef ds:uri="ff19084a-b24c-4fcd-8bc3-62bb086bb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D4A14-7BA4-4EEC-AF88-F3A1D89CCE80}">
  <ds:schemaRefs>
    <ds:schemaRef ds:uri="Microsoft.SharePoint.Taxonomy.ContentTypeSync"/>
  </ds:schemaRefs>
</ds:datastoreItem>
</file>

<file path=customXml/itemProps4.xml><?xml version="1.0" encoding="utf-8"?>
<ds:datastoreItem xmlns:ds="http://schemas.openxmlformats.org/officeDocument/2006/customXml" ds:itemID="{E27587DE-409B-4C14-8DA5-244477CF96CC}">
  <ds:schemaRefs>
    <ds:schemaRef ds:uri="http://schemas.microsoft.com/sharepoint/v3/contenttype/forms"/>
  </ds:schemaRefs>
</ds:datastoreItem>
</file>

<file path=docMetadata/LabelInfo.xml><?xml version="1.0" encoding="utf-8"?>
<clbl:labelList xmlns:clbl="http://schemas.microsoft.com/office/2020/mipLabelMetadata">
  <clbl:label id="{4833e433-72fb-4931-953c-f5044caa494c}" enabled="1" method="Standard" siteId="{5f229ce1-773c-46ed-a6fa-974006fae09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 Cameron</dc:creator>
  <cp:keywords/>
  <dc:description/>
  <cp:lastModifiedBy>Bischof, Joshua</cp:lastModifiedBy>
  <cp:revision>51</cp:revision>
  <dcterms:created xsi:type="dcterms:W3CDTF">2024-12-09T20:49:00Z</dcterms:created>
  <dcterms:modified xsi:type="dcterms:W3CDTF">2025-01-15T00:15:00Z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0x01010046829DE55437B147B48D1766376E3D6B00990FAA0B09803543A95A8A9C9C08AFEA</vt:lpwstr>
  </property>
  <property fmtid="{D5CDD505-2E9C-101B-9397-08002B2CF9AE}" pid="3" name="FM Retention Category">
    <vt:lpwstr>4</vt:lpwstr>
  </property>
  <property fmtid="{D5CDD505-2E9C-101B-9397-08002B2CF9AE}" pid="4" name="FM Doc Type">
    <vt:lpwstr/>
  </property>
  <property fmtid="{D5CDD505-2E9C-101B-9397-08002B2CF9AE}" pid="5" name="FM_x0020_Retention_x0020_Category">
    <vt:lpwstr>4</vt:lpwstr>
  </property>
  <property fmtid="{D5CDD505-2E9C-101B-9397-08002B2CF9AE}" pid="6" name="FM Ent Taxonomy">
    <vt:lpwstr/>
  </property>
  <property fmtid="{D5CDD505-2E9C-101B-9397-08002B2CF9AE}" pid="7" name="FM_x0020_Ent_x0020_Taxonomy">
    <vt:lpwstr/>
  </property>
  <property fmtid="{D5CDD505-2E9C-101B-9397-08002B2CF9AE}" pid="8" name="FM_x0020_Doc_x0020_Type">
    <vt:lpwstr/>
  </property>
</Properties>
</file>