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C3" w:rsidRDefault="008436EF" w:rsidP="008436EF">
      <w:pPr>
        <w:jc w:val="center"/>
        <w:rPr>
          <w:b/>
          <w:sz w:val="32"/>
          <w:szCs w:val="32"/>
        </w:rPr>
      </w:pPr>
      <w:r>
        <w:rPr>
          <w:b/>
          <w:sz w:val="32"/>
          <w:szCs w:val="32"/>
        </w:rPr>
        <w:t>Global Significant Risks (GSR) – What are they</w:t>
      </w:r>
      <w:r w:rsidR="00EB16A2">
        <w:rPr>
          <w:b/>
          <w:sz w:val="32"/>
          <w:szCs w:val="32"/>
        </w:rPr>
        <w:t>?</w:t>
      </w:r>
    </w:p>
    <w:p w:rsidR="00EB16A2" w:rsidRDefault="00EB16A2" w:rsidP="008436EF">
      <w:pPr>
        <w:jc w:val="center"/>
        <w:rPr>
          <w:b/>
          <w:sz w:val="32"/>
          <w:szCs w:val="32"/>
        </w:rPr>
      </w:pPr>
    </w:p>
    <w:p w:rsidR="00EB16A2" w:rsidRDefault="00EB16A2" w:rsidP="00EB16A2">
      <w:pPr>
        <w:rPr>
          <w:sz w:val="24"/>
          <w:szCs w:val="24"/>
        </w:rPr>
      </w:pPr>
      <w:r>
        <w:rPr>
          <w:sz w:val="24"/>
          <w:szCs w:val="24"/>
        </w:rPr>
        <w:t>Global Significant Risks (GSR) is a term used by our company for the corporate level safety policies devel</w:t>
      </w:r>
      <w:bookmarkStart w:id="0" w:name="_GoBack"/>
      <w:bookmarkEnd w:id="0"/>
      <w:r>
        <w:rPr>
          <w:sz w:val="24"/>
          <w:szCs w:val="24"/>
        </w:rPr>
        <w:t>oped for fatal risks that occur in multiple if not all of our job sites.  These are the risks that have the highest probability of serious injury or death is the risk is not eliminated or controlled.  Simply put, they are the things that could kill you.</w:t>
      </w:r>
    </w:p>
    <w:p w:rsidR="00EB16A2" w:rsidRDefault="00EB16A2" w:rsidP="00EB16A2">
      <w:pPr>
        <w:rPr>
          <w:sz w:val="24"/>
          <w:szCs w:val="24"/>
        </w:rPr>
      </w:pPr>
      <w:r>
        <w:rPr>
          <w:sz w:val="24"/>
          <w:szCs w:val="24"/>
        </w:rPr>
        <w:t>GSRs are a corporate policy that are to be adopted and implemented by all applicable areas at all sites.  They are the minimum standards upon which the sites build their step by step Safe Operating Procedures (SOPs) or Work Instructions.  Every leader is expected to read and understand these policies and when a variance condition exists what steps must be taken.  A variance is when any part of the GSR cannot be met for the particular job to be performed and must be reviewed by the area manager and safety manager before work can proceed.</w:t>
      </w:r>
    </w:p>
    <w:p w:rsidR="00EB16A2" w:rsidRDefault="00EB16A2" w:rsidP="00EB16A2">
      <w:pPr>
        <w:rPr>
          <w:sz w:val="24"/>
          <w:szCs w:val="24"/>
        </w:rPr>
      </w:pPr>
      <w:r>
        <w:rPr>
          <w:sz w:val="24"/>
          <w:szCs w:val="24"/>
        </w:rPr>
        <w:t>Current GSRs can be found on the Corporate Health &amp; Safety SharePoint site and will soon be available on the Contractor portal as well, as contractors are also expected to understand and follow our safety policies.</w:t>
      </w:r>
    </w:p>
    <w:p w:rsidR="00EB16A2" w:rsidRDefault="00EB16A2" w:rsidP="00EB16A2">
      <w:pPr>
        <w:rPr>
          <w:sz w:val="24"/>
          <w:szCs w:val="24"/>
        </w:rPr>
      </w:pPr>
      <w:r>
        <w:rPr>
          <w:sz w:val="24"/>
          <w:szCs w:val="24"/>
        </w:rPr>
        <w:t>Training is required at various levels from visitors to supervisors and of course a detailed training for employees who will be exposed to these risks.  Training requirements are detailed in the GSR policy document.</w:t>
      </w:r>
    </w:p>
    <w:p w:rsidR="00EB16A2" w:rsidRDefault="00EB16A2" w:rsidP="00EB16A2">
      <w:pPr>
        <w:rPr>
          <w:sz w:val="24"/>
          <w:szCs w:val="24"/>
        </w:rPr>
      </w:pPr>
      <w:r>
        <w:rPr>
          <w:sz w:val="24"/>
          <w:szCs w:val="24"/>
        </w:rPr>
        <w:t>One of the most important aspects that could be overlooked with the GSRs is that there may be assumptions made about whether a particular GSR applies to a certain work group or not.  For example, Working at Heights is a policy that probably everyone recognizes occurs in vi</w:t>
      </w:r>
      <w:r w:rsidR="009949C4">
        <w:rPr>
          <w:sz w:val="24"/>
          <w:szCs w:val="24"/>
        </w:rPr>
        <w:t xml:space="preserve">rtually all area.  The HDPE Pipe Handling policy or the Interaction with Heavy Mobile Equipment policy may be seen as being limited to certain work groups only.  Each site is challenged to reconsider these assumptions where they may exist – HDPE may be handled by a project group that only does this work on one project over the span of a few years but if they are not aware of the hazards and safe controls developed to protect their lives a disastrous outcome could be the result.  If it is expected that only those working in the mine environment is the audience for the Interaction with Heavy Mobile Equipment then those controls may not be brought to areas where pedestrians are exposed to forklifts at laydown yards or warehouses.  </w:t>
      </w:r>
    </w:p>
    <w:p w:rsidR="009949C4" w:rsidRDefault="009949C4" w:rsidP="00EB16A2">
      <w:pPr>
        <w:rPr>
          <w:sz w:val="24"/>
          <w:szCs w:val="24"/>
        </w:rPr>
      </w:pPr>
      <w:r>
        <w:rPr>
          <w:sz w:val="24"/>
          <w:szCs w:val="24"/>
        </w:rPr>
        <w:t>Presented here is the list of the current GSR policies that are established.  Select a GSR and review it with your work team.  Ask questions about where some of the less obvious exposures to these risks exist and talk with your group about how these tasks could be done safer with the use of the controls identified in these policies.</w:t>
      </w:r>
    </w:p>
    <w:p w:rsidR="009949C4" w:rsidRDefault="009949C4" w:rsidP="00EB16A2">
      <w:pPr>
        <w:rPr>
          <w:sz w:val="24"/>
          <w:szCs w:val="24"/>
        </w:rPr>
      </w:pPr>
    </w:p>
    <w:p w:rsidR="00EB16A2" w:rsidRDefault="00EB16A2" w:rsidP="00EB16A2">
      <w:pPr>
        <w:rPr>
          <w:sz w:val="24"/>
          <w:szCs w:val="24"/>
        </w:rPr>
      </w:pPr>
    </w:p>
    <w:p w:rsidR="009949C4" w:rsidRDefault="0076503F" w:rsidP="0076503F">
      <w:pPr>
        <w:jc w:val="center"/>
        <w:rPr>
          <w:b/>
          <w:sz w:val="32"/>
          <w:szCs w:val="32"/>
        </w:rPr>
      </w:pPr>
      <w:r>
        <w:rPr>
          <w:b/>
          <w:sz w:val="32"/>
          <w:szCs w:val="32"/>
        </w:rPr>
        <w:lastRenderedPageBreak/>
        <w:t>FCX Global Significant Risk Policy</w:t>
      </w:r>
    </w:p>
    <w:p w:rsidR="009949C4" w:rsidRDefault="007E5618" w:rsidP="009949C4">
      <w:pPr>
        <w:pStyle w:val="Prrafodelista"/>
        <w:numPr>
          <w:ilvl w:val="0"/>
          <w:numId w:val="1"/>
        </w:numPr>
        <w:rPr>
          <w:b/>
          <w:sz w:val="32"/>
          <w:szCs w:val="32"/>
        </w:rPr>
      </w:pPr>
      <w:r>
        <w:rPr>
          <w:b/>
          <w:sz w:val="32"/>
          <w:szCs w:val="32"/>
        </w:rPr>
        <w:t>HDPE Pipe Handling</w:t>
      </w:r>
    </w:p>
    <w:p w:rsidR="007E5618" w:rsidRDefault="007E5618" w:rsidP="009949C4">
      <w:pPr>
        <w:pStyle w:val="Prrafodelista"/>
        <w:numPr>
          <w:ilvl w:val="0"/>
          <w:numId w:val="1"/>
        </w:numPr>
        <w:rPr>
          <w:b/>
          <w:sz w:val="32"/>
          <w:szCs w:val="32"/>
        </w:rPr>
      </w:pPr>
      <w:r>
        <w:rPr>
          <w:b/>
          <w:sz w:val="32"/>
          <w:szCs w:val="32"/>
        </w:rPr>
        <w:t>Interaction with Heavy Mobile Equipment (revision</w:t>
      </w:r>
      <w:r w:rsidR="004B4369">
        <w:rPr>
          <w:b/>
          <w:sz w:val="32"/>
          <w:szCs w:val="32"/>
        </w:rPr>
        <w:t xml:space="preserve"> imminent</w:t>
      </w:r>
      <w:r>
        <w:rPr>
          <w:b/>
          <w:sz w:val="32"/>
          <w:szCs w:val="32"/>
        </w:rPr>
        <w:t>)</w:t>
      </w:r>
    </w:p>
    <w:p w:rsidR="007E5618" w:rsidRDefault="007E5618" w:rsidP="009949C4">
      <w:pPr>
        <w:pStyle w:val="Prrafodelista"/>
        <w:numPr>
          <w:ilvl w:val="0"/>
          <w:numId w:val="1"/>
        </w:numPr>
        <w:rPr>
          <w:b/>
          <w:sz w:val="32"/>
          <w:szCs w:val="32"/>
        </w:rPr>
      </w:pPr>
      <w:r>
        <w:rPr>
          <w:b/>
          <w:sz w:val="32"/>
          <w:szCs w:val="32"/>
        </w:rPr>
        <w:t>Industrial Railroad (revision in process, release imminent)</w:t>
      </w:r>
    </w:p>
    <w:p w:rsidR="00AE3DAA" w:rsidRDefault="00AE3DAA" w:rsidP="009949C4">
      <w:pPr>
        <w:pStyle w:val="Prrafodelista"/>
        <w:numPr>
          <w:ilvl w:val="0"/>
          <w:numId w:val="1"/>
        </w:numPr>
        <w:rPr>
          <w:b/>
          <w:sz w:val="32"/>
          <w:szCs w:val="32"/>
        </w:rPr>
      </w:pPr>
      <w:r>
        <w:rPr>
          <w:b/>
          <w:sz w:val="32"/>
          <w:szCs w:val="32"/>
        </w:rPr>
        <w:t>Control of Hazardous Energy Sources</w:t>
      </w:r>
    </w:p>
    <w:p w:rsidR="00AE3DAA" w:rsidRDefault="00AE3DAA" w:rsidP="009949C4">
      <w:pPr>
        <w:pStyle w:val="Prrafodelista"/>
        <w:numPr>
          <w:ilvl w:val="0"/>
          <w:numId w:val="1"/>
        </w:numPr>
        <w:rPr>
          <w:b/>
          <w:sz w:val="32"/>
          <w:szCs w:val="32"/>
        </w:rPr>
      </w:pPr>
      <w:r>
        <w:rPr>
          <w:b/>
          <w:sz w:val="32"/>
          <w:szCs w:val="32"/>
        </w:rPr>
        <w:t>Surface Blasting</w:t>
      </w:r>
    </w:p>
    <w:p w:rsidR="004B4369" w:rsidRDefault="004B4369" w:rsidP="009949C4">
      <w:pPr>
        <w:pStyle w:val="Prrafodelista"/>
        <w:numPr>
          <w:ilvl w:val="0"/>
          <w:numId w:val="1"/>
        </w:numPr>
        <w:rPr>
          <w:b/>
          <w:sz w:val="32"/>
          <w:szCs w:val="32"/>
        </w:rPr>
      </w:pPr>
      <w:r>
        <w:rPr>
          <w:b/>
          <w:sz w:val="32"/>
          <w:szCs w:val="32"/>
        </w:rPr>
        <w:t>Hazardous Gas</w:t>
      </w:r>
    </w:p>
    <w:p w:rsidR="00AE3DAA" w:rsidRDefault="00AE3DAA" w:rsidP="009949C4">
      <w:pPr>
        <w:pStyle w:val="Prrafodelista"/>
        <w:numPr>
          <w:ilvl w:val="0"/>
          <w:numId w:val="1"/>
        </w:numPr>
        <w:rPr>
          <w:b/>
          <w:sz w:val="32"/>
          <w:szCs w:val="32"/>
        </w:rPr>
      </w:pPr>
      <w:r>
        <w:rPr>
          <w:b/>
          <w:sz w:val="32"/>
          <w:szCs w:val="32"/>
        </w:rPr>
        <w:t>Bulk Material Handling</w:t>
      </w:r>
    </w:p>
    <w:p w:rsidR="007E5618" w:rsidRDefault="007E5618" w:rsidP="009949C4">
      <w:pPr>
        <w:pStyle w:val="Prrafodelista"/>
        <w:numPr>
          <w:ilvl w:val="0"/>
          <w:numId w:val="1"/>
        </w:numPr>
        <w:rPr>
          <w:b/>
          <w:sz w:val="32"/>
          <w:szCs w:val="32"/>
        </w:rPr>
      </w:pPr>
      <w:r>
        <w:rPr>
          <w:b/>
          <w:sz w:val="32"/>
          <w:szCs w:val="32"/>
        </w:rPr>
        <w:t>Hot Work</w:t>
      </w:r>
    </w:p>
    <w:p w:rsidR="007E5618" w:rsidRDefault="007E5618" w:rsidP="009949C4">
      <w:pPr>
        <w:pStyle w:val="Prrafodelista"/>
        <w:numPr>
          <w:ilvl w:val="0"/>
          <w:numId w:val="1"/>
        </w:numPr>
        <w:rPr>
          <w:b/>
          <w:sz w:val="32"/>
          <w:szCs w:val="32"/>
        </w:rPr>
      </w:pPr>
      <w:r>
        <w:rPr>
          <w:b/>
          <w:sz w:val="32"/>
          <w:szCs w:val="32"/>
        </w:rPr>
        <w:t>Work at Height</w:t>
      </w:r>
    </w:p>
    <w:p w:rsidR="007E5618" w:rsidRDefault="007E5618" w:rsidP="009949C4">
      <w:pPr>
        <w:pStyle w:val="Prrafodelista"/>
        <w:numPr>
          <w:ilvl w:val="0"/>
          <w:numId w:val="1"/>
        </w:numPr>
        <w:rPr>
          <w:b/>
          <w:sz w:val="32"/>
          <w:szCs w:val="32"/>
        </w:rPr>
      </w:pPr>
      <w:r>
        <w:rPr>
          <w:b/>
          <w:sz w:val="32"/>
          <w:szCs w:val="32"/>
        </w:rPr>
        <w:t>Open Hole</w:t>
      </w:r>
    </w:p>
    <w:p w:rsidR="007E5618" w:rsidRDefault="007E5618" w:rsidP="009949C4">
      <w:pPr>
        <w:pStyle w:val="Prrafodelista"/>
        <w:numPr>
          <w:ilvl w:val="0"/>
          <w:numId w:val="1"/>
        </w:numPr>
        <w:rPr>
          <w:b/>
          <w:sz w:val="32"/>
          <w:szCs w:val="32"/>
        </w:rPr>
      </w:pPr>
      <w:r>
        <w:rPr>
          <w:b/>
          <w:sz w:val="32"/>
          <w:szCs w:val="32"/>
        </w:rPr>
        <w:t>Bus Safety</w:t>
      </w:r>
    </w:p>
    <w:p w:rsidR="007E5618" w:rsidRPr="004B4369" w:rsidRDefault="007E5618" w:rsidP="004B4369">
      <w:pPr>
        <w:pStyle w:val="Prrafodelista"/>
        <w:numPr>
          <w:ilvl w:val="0"/>
          <w:numId w:val="1"/>
        </w:numPr>
        <w:rPr>
          <w:b/>
          <w:sz w:val="32"/>
          <w:szCs w:val="32"/>
        </w:rPr>
      </w:pPr>
      <w:r>
        <w:rPr>
          <w:b/>
          <w:sz w:val="32"/>
          <w:szCs w:val="32"/>
        </w:rPr>
        <w:t>Confined Space</w:t>
      </w:r>
    </w:p>
    <w:p w:rsidR="00AE3DAA" w:rsidRDefault="00AE3DAA" w:rsidP="009949C4">
      <w:pPr>
        <w:pStyle w:val="Prrafodelista"/>
        <w:numPr>
          <w:ilvl w:val="0"/>
          <w:numId w:val="1"/>
        </w:numPr>
        <w:rPr>
          <w:b/>
          <w:sz w:val="32"/>
          <w:szCs w:val="32"/>
        </w:rPr>
      </w:pPr>
      <w:r>
        <w:rPr>
          <w:b/>
          <w:sz w:val="32"/>
          <w:szCs w:val="32"/>
        </w:rPr>
        <w:t>Shovel Move</w:t>
      </w:r>
    </w:p>
    <w:p w:rsidR="00AE3DAA" w:rsidRDefault="00AE3DAA" w:rsidP="009949C4">
      <w:pPr>
        <w:pStyle w:val="Prrafodelista"/>
        <w:numPr>
          <w:ilvl w:val="0"/>
          <w:numId w:val="1"/>
        </w:numPr>
        <w:rPr>
          <w:b/>
          <w:sz w:val="32"/>
          <w:szCs w:val="32"/>
        </w:rPr>
      </w:pPr>
      <w:r>
        <w:rPr>
          <w:b/>
          <w:sz w:val="32"/>
          <w:szCs w:val="32"/>
        </w:rPr>
        <w:t>Blue Stake (location of buried/concealed utility sources)</w:t>
      </w:r>
    </w:p>
    <w:p w:rsidR="0076503F" w:rsidRDefault="0076503F" w:rsidP="009949C4">
      <w:pPr>
        <w:pStyle w:val="Prrafodelista"/>
        <w:numPr>
          <w:ilvl w:val="0"/>
          <w:numId w:val="1"/>
        </w:numPr>
        <w:rPr>
          <w:b/>
          <w:sz w:val="32"/>
          <w:szCs w:val="32"/>
        </w:rPr>
      </w:pPr>
      <w:r>
        <w:rPr>
          <w:b/>
          <w:sz w:val="32"/>
          <w:szCs w:val="32"/>
        </w:rPr>
        <w:t>GSR Variance Policy</w:t>
      </w:r>
    </w:p>
    <w:p w:rsidR="00AE3DAA" w:rsidRDefault="0076503F" w:rsidP="004B4369">
      <w:pPr>
        <w:jc w:val="center"/>
        <w:rPr>
          <w:b/>
          <w:sz w:val="32"/>
          <w:szCs w:val="32"/>
        </w:rPr>
      </w:pPr>
      <w:r>
        <w:rPr>
          <w:b/>
          <w:sz w:val="32"/>
          <w:szCs w:val="32"/>
        </w:rPr>
        <w:t>FCX Guidelines</w:t>
      </w:r>
      <w:r>
        <w:rPr>
          <w:b/>
          <w:sz w:val="24"/>
          <w:szCs w:val="24"/>
        </w:rPr>
        <w:t xml:space="preserve"> (Note: Guidelines were written before GSR policy, should be followed as is though policy updates are scheduled)</w:t>
      </w:r>
      <w:r>
        <w:rPr>
          <w:b/>
          <w:sz w:val="32"/>
          <w:szCs w:val="32"/>
        </w:rPr>
        <w:t xml:space="preserve"> </w:t>
      </w:r>
    </w:p>
    <w:p w:rsidR="0076503F" w:rsidRDefault="0076503F" w:rsidP="004B4369">
      <w:pPr>
        <w:pStyle w:val="Prrafodelista"/>
        <w:numPr>
          <w:ilvl w:val="0"/>
          <w:numId w:val="2"/>
        </w:numPr>
        <w:rPr>
          <w:b/>
          <w:sz w:val="32"/>
          <w:szCs w:val="32"/>
        </w:rPr>
      </w:pPr>
      <w:r>
        <w:rPr>
          <w:b/>
          <w:sz w:val="32"/>
          <w:szCs w:val="32"/>
        </w:rPr>
        <w:t>Fatality Prevention Guideline</w:t>
      </w:r>
    </w:p>
    <w:p w:rsidR="004B4369" w:rsidRDefault="004B4369" w:rsidP="004B4369">
      <w:pPr>
        <w:pStyle w:val="Prrafodelista"/>
        <w:numPr>
          <w:ilvl w:val="0"/>
          <w:numId w:val="2"/>
        </w:numPr>
        <w:rPr>
          <w:b/>
          <w:sz w:val="32"/>
          <w:szCs w:val="32"/>
        </w:rPr>
      </w:pPr>
      <w:r>
        <w:rPr>
          <w:b/>
          <w:sz w:val="32"/>
          <w:szCs w:val="32"/>
        </w:rPr>
        <w:t>Flagging and Barricading</w:t>
      </w:r>
    </w:p>
    <w:p w:rsidR="004B4369" w:rsidRDefault="004B4369" w:rsidP="004B4369">
      <w:pPr>
        <w:pStyle w:val="Prrafodelista"/>
        <w:numPr>
          <w:ilvl w:val="0"/>
          <w:numId w:val="2"/>
        </w:numPr>
        <w:rPr>
          <w:b/>
          <w:sz w:val="32"/>
          <w:szCs w:val="32"/>
        </w:rPr>
      </w:pPr>
      <w:r>
        <w:rPr>
          <w:b/>
          <w:sz w:val="32"/>
          <w:szCs w:val="32"/>
        </w:rPr>
        <w:t>Lead Exposure Management Program</w:t>
      </w:r>
    </w:p>
    <w:p w:rsidR="004B4369" w:rsidRDefault="004B4369" w:rsidP="004B4369">
      <w:pPr>
        <w:pStyle w:val="Prrafodelista"/>
        <w:numPr>
          <w:ilvl w:val="0"/>
          <w:numId w:val="2"/>
        </w:numPr>
        <w:rPr>
          <w:b/>
          <w:sz w:val="32"/>
          <w:szCs w:val="32"/>
        </w:rPr>
      </w:pPr>
      <w:r>
        <w:rPr>
          <w:b/>
          <w:sz w:val="32"/>
          <w:szCs w:val="32"/>
        </w:rPr>
        <w:t>Arc Flash PPE Protection Guideline</w:t>
      </w:r>
    </w:p>
    <w:p w:rsidR="004B4369" w:rsidRDefault="004B4369" w:rsidP="004B4369">
      <w:pPr>
        <w:pStyle w:val="Prrafodelista"/>
        <w:numPr>
          <w:ilvl w:val="0"/>
          <w:numId w:val="2"/>
        </w:numPr>
        <w:rPr>
          <w:b/>
          <w:sz w:val="32"/>
          <w:szCs w:val="32"/>
        </w:rPr>
      </w:pPr>
      <w:r>
        <w:rPr>
          <w:b/>
          <w:sz w:val="32"/>
          <w:szCs w:val="32"/>
        </w:rPr>
        <w:t>Fatigue Management Guideline</w:t>
      </w:r>
    </w:p>
    <w:p w:rsidR="0076503F" w:rsidRPr="0076503F" w:rsidRDefault="0076503F" w:rsidP="0076503F">
      <w:pPr>
        <w:pStyle w:val="Prrafodelista"/>
        <w:numPr>
          <w:ilvl w:val="0"/>
          <w:numId w:val="2"/>
        </w:numPr>
        <w:rPr>
          <w:b/>
          <w:sz w:val="32"/>
          <w:szCs w:val="32"/>
        </w:rPr>
      </w:pPr>
      <w:r>
        <w:rPr>
          <w:b/>
          <w:sz w:val="32"/>
          <w:szCs w:val="32"/>
        </w:rPr>
        <w:t>Stockpile Management</w:t>
      </w:r>
    </w:p>
    <w:p w:rsidR="0076503F" w:rsidRDefault="0076503F" w:rsidP="0076503F">
      <w:pPr>
        <w:jc w:val="center"/>
        <w:rPr>
          <w:b/>
          <w:sz w:val="32"/>
          <w:szCs w:val="32"/>
        </w:rPr>
      </w:pPr>
      <w:r>
        <w:rPr>
          <w:b/>
          <w:sz w:val="32"/>
          <w:szCs w:val="32"/>
        </w:rPr>
        <w:t>FCX GSR Policy – Expected Release 1Q</w:t>
      </w:r>
    </w:p>
    <w:p w:rsidR="0076503F" w:rsidRDefault="0076503F" w:rsidP="0076503F">
      <w:pPr>
        <w:pStyle w:val="Prrafodelista"/>
        <w:numPr>
          <w:ilvl w:val="0"/>
          <w:numId w:val="3"/>
        </w:numPr>
        <w:rPr>
          <w:b/>
          <w:sz w:val="32"/>
          <w:szCs w:val="32"/>
        </w:rPr>
      </w:pPr>
      <w:r>
        <w:rPr>
          <w:b/>
          <w:sz w:val="32"/>
          <w:szCs w:val="32"/>
        </w:rPr>
        <w:t>EW Electrical Safety</w:t>
      </w:r>
    </w:p>
    <w:p w:rsidR="00AE3DAA" w:rsidRPr="0076503F" w:rsidRDefault="0076503F" w:rsidP="00AE3DAA">
      <w:pPr>
        <w:pStyle w:val="Prrafodelista"/>
        <w:numPr>
          <w:ilvl w:val="0"/>
          <w:numId w:val="3"/>
        </w:numPr>
        <w:rPr>
          <w:b/>
          <w:sz w:val="32"/>
          <w:szCs w:val="32"/>
        </w:rPr>
      </w:pPr>
      <w:r>
        <w:rPr>
          <w:b/>
          <w:sz w:val="32"/>
          <w:szCs w:val="32"/>
        </w:rPr>
        <w:t>Acid Handling</w:t>
      </w:r>
    </w:p>
    <w:sectPr w:rsidR="00AE3DAA" w:rsidRPr="0076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56040"/>
    <w:multiLevelType w:val="hybridMultilevel"/>
    <w:tmpl w:val="9640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F28A8"/>
    <w:multiLevelType w:val="hybridMultilevel"/>
    <w:tmpl w:val="DFD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6659D"/>
    <w:multiLevelType w:val="hybridMultilevel"/>
    <w:tmpl w:val="2C34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EF"/>
    <w:rsid w:val="004B4369"/>
    <w:rsid w:val="0076503F"/>
    <w:rsid w:val="007E5618"/>
    <w:rsid w:val="008436EF"/>
    <w:rsid w:val="00885C21"/>
    <w:rsid w:val="009949C4"/>
    <w:rsid w:val="00AE3DAA"/>
    <w:rsid w:val="00EB16A2"/>
    <w:rsid w:val="00E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F82BC-3C0B-447D-B9FC-19FBA66C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C39031DDAEB4CAB853931EB75971A" ma:contentTypeVersion="5" ma:contentTypeDescription="Create a new document." ma:contentTypeScope="" ma:versionID="576daa50c10494a9b9b933980f5175b3">
  <xsd:schema xmlns:xsd="http://www.w3.org/2001/XMLSchema" xmlns:xs="http://www.w3.org/2001/XMLSchema" xmlns:p="http://schemas.microsoft.com/office/2006/metadata/properties" xmlns:ns2="14ec434a-7f37-47cb-ac9e-dde8c3a1c5d4" xmlns:ns3="15c32446-1210-4946-a019-9b4e767c6d03" targetNamespace="http://schemas.microsoft.com/office/2006/metadata/properties" ma:root="true" ma:fieldsID="10e8850db476d4d2e1c1fae3db84f679" ns2:_="" ns3:_="">
    <xsd:import namespace="14ec434a-7f37-47cb-ac9e-dde8c3a1c5d4"/>
    <xsd:import namespace="15c32446-1210-4946-a019-9b4e767c6d0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32446-1210-4946-a019-9b4e767c6d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A1C0B-9F8D-43F3-9464-70732EB63798}"/>
</file>

<file path=customXml/itemProps2.xml><?xml version="1.0" encoding="utf-8"?>
<ds:datastoreItem xmlns:ds="http://schemas.openxmlformats.org/officeDocument/2006/customXml" ds:itemID="{C81754A1-18ED-44D3-8AFD-58B78644033C}"/>
</file>

<file path=customXml/itemProps3.xml><?xml version="1.0" encoding="utf-8"?>
<ds:datastoreItem xmlns:ds="http://schemas.openxmlformats.org/officeDocument/2006/customXml" ds:itemID="{9DB02AEE-2298-4CEB-BA28-1A3691D7B0C3}"/>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2978</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FMI</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Seppala, Vicki</dc:creator>
  <cp:keywords/>
  <dc:description/>
  <cp:lastModifiedBy>GOMEZ GARCIA, KAREN JOANNA</cp:lastModifiedBy>
  <cp:revision>2</cp:revision>
  <dcterms:created xsi:type="dcterms:W3CDTF">2017-01-30T13:13:00Z</dcterms:created>
  <dcterms:modified xsi:type="dcterms:W3CDTF">2017-01-30T13:13:00Z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0x010100BBEC39031DDAEB4CAB853931EB75971A</vt:lpwstr>
  </property>
</Properties>
</file>